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786C" w14:textId="77777777" w:rsidR="00462341" w:rsidRDefault="005F3A30" w:rsidP="00777CC5">
      <w:pPr>
        <w:rPr>
          <w:rFonts w:ascii="Arial Black" w:hAnsi="Arial Black"/>
          <w:b/>
          <w:color w:val="FF0000"/>
        </w:rPr>
      </w:pPr>
      <w:r>
        <w:rPr>
          <w:noProof/>
        </w:rPr>
        <w:drawing>
          <wp:inline distT="0" distB="0" distL="0" distR="0" wp14:anchorId="60E0144A" wp14:editId="09510C8F">
            <wp:extent cx="2009775" cy="495300"/>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300"/>
                    </a:xfrm>
                    <a:prstGeom prst="rect">
                      <a:avLst/>
                    </a:prstGeom>
                  </pic:spPr>
                </pic:pic>
              </a:graphicData>
            </a:graphic>
          </wp:inline>
        </w:drawing>
      </w:r>
    </w:p>
    <w:p w14:paraId="3FF4B993" w14:textId="77777777" w:rsidR="00777CC5" w:rsidRDefault="00777CC5" w:rsidP="0084204B">
      <w:pPr>
        <w:jc w:val="center"/>
        <w:rPr>
          <w:rFonts w:ascii="Arial Black" w:hAnsi="Arial Black"/>
          <w:b/>
          <w:color w:val="FF0000"/>
        </w:rPr>
      </w:pPr>
    </w:p>
    <w:p w14:paraId="102FFB1D" w14:textId="77777777" w:rsidR="00EF0626" w:rsidRPr="00D04DEF" w:rsidRDefault="00EF0626" w:rsidP="0084204B">
      <w:pPr>
        <w:rPr>
          <w:b/>
        </w:rPr>
      </w:pPr>
    </w:p>
    <w:tbl>
      <w:tblPr>
        <w:tblW w:w="313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tblGrid>
      <w:tr w:rsidR="00A71F05" w14:paraId="1DCD1D28" w14:textId="77777777">
        <w:trPr>
          <w:trHeight w:val="777"/>
        </w:trPr>
        <w:tc>
          <w:tcPr>
            <w:tcW w:w="3130" w:type="dxa"/>
          </w:tcPr>
          <w:p w14:paraId="1BC13E03" w14:textId="082E9BA3" w:rsidR="00A71F05" w:rsidRDefault="00A71F05" w:rsidP="00D4290D">
            <w:pPr>
              <w:pStyle w:val="Heading8"/>
              <w:rPr>
                <w:i w:val="0"/>
                <w:iCs w:val="0"/>
              </w:rPr>
            </w:pPr>
            <w:r w:rsidRPr="00CF184E">
              <w:rPr>
                <w:rFonts w:ascii="Arial Black" w:hAnsi="Arial Black"/>
                <w:i w:val="0"/>
                <w:iCs w:val="0"/>
              </w:rPr>
              <w:t>Ref</w:t>
            </w:r>
            <w:r w:rsidRPr="00CF184E">
              <w:rPr>
                <w:rFonts w:ascii="Arial Black" w:hAnsi="Arial Black"/>
              </w:rPr>
              <w:t xml:space="preserve"> </w:t>
            </w:r>
            <w:r w:rsidRPr="00CF184E">
              <w:rPr>
                <w:rFonts w:ascii="Arial Black" w:hAnsi="Arial Black"/>
                <w:i w:val="0"/>
                <w:iCs w:val="0"/>
              </w:rPr>
              <w:t>PHD</w:t>
            </w:r>
            <w:r>
              <w:rPr>
                <w:i w:val="0"/>
                <w:iCs w:val="0"/>
              </w:rPr>
              <w:t xml:space="preserve"> </w:t>
            </w:r>
            <w:r w:rsidR="00DF3E99" w:rsidRPr="00CB760D">
              <w:rPr>
                <w:rFonts w:asciiTheme="minorBidi" w:hAnsiTheme="minorBidi" w:cstheme="minorBidi"/>
                <w:i w:val="0"/>
                <w:iCs w:val="0"/>
              </w:rPr>
              <w:t>09-2022-23</w:t>
            </w:r>
          </w:p>
          <w:p w14:paraId="5F74C597" w14:textId="77777777" w:rsidR="00A71F05" w:rsidRDefault="00A71F05" w:rsidP="00D4290D">
            <w:pPr>
              <w:rPr>
                <w:i/>
              </w:rPr>
            </w:pPr>
          </w:p>
        </w:tc>
      </w:tr>
    </w:tbl>
    <w:p w14:paraId="60E43F34" w14:textId="77777777" w:rsidR="00A71F05" w:rsidRDefault="00A71F05" w:rsidP="00A71F05"/>
    <w:tbl>
      <w:tblPr>
        <w:tblW w:w="8575" w:type="dxa"/>
        <w:tblLayout w:type="fixed"/>
        <w:tblCellMar>
          <w:left w:w="115" w:type="dxa"/>
          <w:right w:w="115" w:type="dxa"/>
        </w:tblCellMar>
        <w:tblLook w:val="0000" w:firstRow="0" w:lastRow="0" w:firstColumn="0" w:lastColumn="0" w:noHBand="0" w:noVBand="0"/>
      </w:tblPr>
      <w:tblGrid>
        <w:gridCol w:w="3474"/>
        <w:gridCol w:w="5101"/>
      </w:tblGrid>
      <w:tr w:rsidR="00A71F05" w:rsidRPr="007D7E0B" w14:paraId="1FB6B0B2" w14:textId="77777777" w:rsidTr="009B4288">
        <w:tc>
          <w:tcPr>
            <w:tcW w:w="3474" w:type="dxa"/>
            <w:tcBorders>
              <w:bottom w:val="single" w:sz="18" w:space="0" w:color="auto"/>
            </w:tcBorders>
          </w:tcPr>
          <w:p w14:paraId="2F598628" w14:textId="77777777" w:rsidR="00A71F05" w:rsidRPr="003F7AEE" w:rsidRDefault="00A6606C" w:rsidP="00A6606C">
            <w:pPr>
              <w:pStyle w:val="Heading1"/>
            </w:pPr>
            <w:r>
              <w:t>Report f</w:t>
            </w:r>
            <w:r w:rsidRPr="003F7AEE">
              <w:t>or:</w:t>
            </w:r>
          </w:p>
          <w:p w14:paraId="187C8553" w14:textId="77777777" w:rsidR="00A71F05" w:rsidRPr="00E026EE" w:rsidRDefault="00A71F05" w:rsidP="00D4290D">
            <w:pPr>
              <w:rPr>
                <w:rFonts w:ascii="Arial Black" w:hAnsi="Arial Black" w:cs="Arial"/>
                <w:sz w:val="36"/>
                <w:szCs w:val="36"/>
              </w:rPr>
            </w:pPr>
          </w:p>
        </w:tc>
        <w:tc>
          <w:tcPr>
            <w:tcW w:w="5101" w:type="dxa"/>
            <w:tcBorders>
              <w:bottom w:val="single" w:sz="18" w:space="0" w:color="auto"/>
            </w:tcBorders>
          </w:tcPr>
          <w:p w14:paraId="7C137DFE" w14:textId="48FA279D" w:rsidR="00A71F05" w:rsidRDefault="00DF3E99" w:rsidP="00A6606C">
            <w:pPr>
              <w:pStyle w:val="Heading1"/>
            </w:pPr>
            <w:r>
              <w:t xml:space="preserve">Portfolio Holder </w:t>
            </w:r>
            <w:r w:rsidR="00CD15A0">
              <w:t xml:space="preserve">Decision </w:t>
            </w:r>
          </w:p>
          <w:p w14:paraId="12D565FF" w14:textId="77777777" w:rsidR="001E347C" w:rsidRPr="00E026EE" w:rsidRDefault="001E347C" w:rsidP="00D4290D">
            <w:pPr>
              <w:rPr>
                <w:rFonts w:ascii="Arial Black" w:hAnsi="Arial Black" w:cs="Arial"/>
                <w:sz w:val="36"/>
                <w:szCs w:val="36"/>
              </w:rPr>
            </w:pPr>
          </w:p>
        </w:tc>
      </w:tr>
      <w:tr w:rsidR="00A71F05" w:rsidRPr="007D7E0B" w14:paraId="72EB63A3" w14:textId="77777777" w:rsidTr="009B4288">
        <w:tc>
          <w:tcPr>
            <w:tcW w:w="3474" w:type="dxa"/>
          </w:tcPr>
          <w:p w14:paraId="3EA553F6" w14:textId="77777777" w:rsidR="00A71F05" w:rsidRPr="007D7E0B" w:rsidRDefault="00A71F05" w:rsidP="00D4290D">
            <w:pPr>
              <w:pStyle w:val="Infotext"/>
              <w:rPr>
                <w:rFonts w:ascii="Arial Black" w:hAnsi="Arial Black" w:cs="Arial"/>
              </w:rPr>
            </w:pPr>
            <w:r w:rsidRPr="007D7E0B">
              <w:rPr>
                <w:rFonts w:ascii="Arial Black" w:hAnsi="Arial Black" w:cs="Arial"/>
              </w:rPr>
              <w:t>Subject:</w:t>
            </w:r>
          </w:p>
          <w:p w14:paraId="6792E027" w14:textId="77777777" w:rsidR="00A71F05" w:rsidRPr="007D7E0B" w:rsidRDefault="00A71F05" w:rsidP="00D4290D">
            <w:pPr>
              <w:pStyle w:val="Infotext"/>
              <w:rPr>
                <w:rFonts w:ascii="Arial Black" w:hAnsi="Arial Black"/>
              </w:rPr>
            </w:pPr>
          </w:p>
        </w:tc>
        <w:tc>
          <w:tcPr>
            <w:tcW w:w="5101" w:type="dxa"/>
          </w:tcPr>
          <w:p w14:paraId="4C18EA90" w14:textId="1F8FC7A4" w:rsidR="00A71F05" w:rsidRPr="002226DA" w:rsidRDefault="00C713F5" w:rsidP="00C713F5">
            <w:pPr>
              <w:rPr>
                <w:rFonts w:cs="Arial"/>
                <w:sz w:val="28"/>
                <w:szCs w:val="28"/>
              </w:rPr>
            </w:pPr>
            <w:r w:rsidRPr="002226DA">
              <w:rPr>
                <w:rFonts w:ascii="Arial Black" w:hAnsi="Arial Black" w:cs="Arial"/>
                <w:sz w:val="28"/>
                <w:szCs w:val="28"/>
              </w:rPr>
              <w:t xml:space="preserve">The Mayor of London’s decision to extend the </w:t>
            </w:r>
            <w:proofErr w:type="spellStart"/>
            <w:r w:rsidRPr="002226DA">
              <w:rPr>
                <w:rFonts w:ascii="Arial Black" w:hAnsi="Arial Black" w:cs="Arial"/>
                <w:sz w:val="28"/>
                <w:szCs w:val="28"/>
              </w:rPr>
              <w:t>Ultra Low</w:t>
            </w:r>
            <w:proofErr w:type="spellEnd"/>
            <w:r w:rsidRPr="002226DA">
              <w:rPr>
                <w:rFonts w:ascii="Arial Black" w:hAnsi="Arial Black" w:cs="Arial"/>
                <w:sz w:val="28"/>
                <w:szCs w:val="28"/>
              </w:rPr>
              <w:t xml:space="preserve"> Emission </w:t>
            </w:r>
            <w:r w:rsidR="00A12AF2">
              <w:rPr>
                <w:rFonts w:ascii="Arial Black" w:hAnsi="Arial Black" w:cs="Arial"/>
                <w:sz w:val="28"/>
                <w:szCs w:val="28"/>
              </w:rPr>
              <w:t xml:space="preserve">Zone </w:t>
            </w:r>
            <w:r w:rsidRPr="002226DA">
              <w:rPr>
                <w:rFonts w:ascii="Arial Black" w:hAnsi="Arial Black" w:cs="Arial"/>
                <w:sz w:val="28"/>
                <w:szCs w:val="28"/>
              </w:rPr>
              <w:t xml:space="preserve">to the London Borough of Harrow </w:t>
            </w:r>
          </w:p>
        </w:tc>
      </w:tr>
      <w:tr w:rsidR="00A71F05" w14:paraId="11C817F1" w14:textId="77777777" w:rsidTr="009B4288">
        <w:tc>
          <w:tcPr>
            <w:tcW w:w="3474" w:type="dxa"/>
            <w:tcBorders>
              <w:top w:val="single" w:sz="18" w:space="0" w:color="auto"/>
            </w:tcBorders>
          </w:tcPr>
          <w:p w14:paraId="3F0883A3" w14:textId="77777777" w:rsidR="00CD634A" w:rsidRDefault="00CD634A" w:rsidP="00D4290D">
            <w:pPr>
              <w:rPr>
                <w:rFonts w:ascii="Arial Black" w:hAnsi="Arial Black" w:cs="Arial"/>
                <w:sz w:val="28"/>
              </w:rPr>
            </w:pPr>
          </w:p>
          <w:p w14:paraId="4B5A4F70" w14:textId="64E4F7EF" w:rsidR="00A71F05" w:rsidRPr="00CF184E" w:rsidRDefault="00A71F05" w:rsidP="00D4290D">
            <w:pPr>
              <w:rPr>
                <w:rFonts w:ascii="Arial Black" w:hAnsi="Arial Black" w:cs="Arial"/>
                <w:sz w:val="28"/>
              </w:rPr>
            </w:pPr>
            <w:r w:rsidRPr="00CF184E">
              <w:rPr>
                <w:rFonts w:ascii="Arial Black" w:hAnsi="Arial Black" w:cs="Arial"/>
                <w:sz w:val="28"/>
              </w:rPr>
              <w:t>Responsible Officer:</w:t>
            </w:r>
          </w:p>
          <w:p w14:paraId="62A652D4" w14:textId="77777777" w:rsidR="00A71F05" w:rsidRPr="00CF184E" w:rsidRDefault="00A71F05" w:rsidP="00D4290D">
            <w:pPr>
              <w:rPr>
                <w:rFonts w:ascii="Arial Black" w:hAnsi="Arial Black" w:cs="Arial"/>
                <w:sz w:val="28"/>
              </w:rPr>
            </w:pPr>
          </w:p>
        </w:tc>
        <w:tc>
          <w:tcPr>
            <w:tcW w:w="5101" w:type="dxa"/>
            <w:tcBorders>
              <w:top w:val="single" w:sz="18" w:space="0" w:color="auto"/>
            </w:tcBorders>
          </w:tcPr>
          <w:p w14:paraId="176334B3" w14:textId="77777777" w:rsidR="00CD634A" w:rsidRDefault="00CD634A" w:rsidP="00B10584">
            <w:pPr>
              <w:pStyle w:val="Infotext"/>
              <w:rPr>
                <w:rFonts w:cs="Arial"/>
                <w:szCs w:val="28"/>
              </w:rPr>
            </w:pPr>
          </w:p>
          <w:p w14:paraId="21C4725F" w14:textId="26D368AB" w:rsidR="00B10584" w:rsidRPr="00633EAF" w:rsidRDefault="00B10584" w:rsidP="00B10584">
            <w:pPr>
              <w:pStyle w:val="Infotext"/>
              <w:rPr>
                <w:rFonts w:cs="Arial"/>
                <w:szCs w:val="28"/>
              </w:rPr>
            </w:pPr>
            <w:r w:rsidRPr="00633EAF">
              <w:rPr>
                <w:rFonts w:cs="Arial"/>
                <w:szCs w:val="28"/>
              </w:rPr>
              <w:t xml:space="preserve">Director of Legal &amp; Governance Services </w:t>
            </w:r>
          </w:p>
          <w:p w14:paraId="08647ACF" w14:textId="18467345" w:rsidR="00A71F05" w:rsidRPr="00633EAF" w:rsidRDefault="00A71F05" w:rsidP="00D4290D">
            <w:pPr>
              <w:pStyle w:val="Infotext"/>
              <w:rPr>
                <w:rFonts w:cs="Arial"/>
                <w:szCs w:val="28"/>
              </w:rPr>
            </w:pPr>
          </w:p>
        </w:tc>
      </w:tr>
      <w:tr w:rsidR="00A71F05" w14:paraId="78AF259A" w14:textId="77777777" w:rsidTr="009B4288">
        <w:tc>
          <w:tcPr>
            <w:tcW w:w="3474" w:type="dxa"/>
          </w:tcPr>
          <w:p w14:paraId="444B29A1" w14:textId="77777777" w:rsidR="00A71F05" w:rsidRPr="00CF184E" w:rsidRDefault="00A71F05" w:rsidP="00D4290D">
            <w:pPr>
              <w:rPr>
                <w:rFonts w:ascii="Arial Black" w:hAnsi="Arial Black" w:cs="Arial"/>
                <w:sz w:val="28"/>
              </w:rPr>
            </w:pPr>
            <w:r w:rsidRPr="00CF184E">
              <w:rPr>
                <w:rFonts w:ascii="Arial Black" w:hAnsi="Arial Black" w:cs="Arial"/>
                <w:sz w:val="28"/>
              </w:rPr>
              <w:t>Portfolio Holder:</w:t>
            </w:r>
          </w:p>
          <w:p w14:paraId="1288DE5B" w14:textId="77777777" w:rsidR="00A71F05" w:rsidRPr="00CF184E" w:rsidRDefault="00A71F05" w:rsidP="00D4290D">
            <w:pPr>
              <w:rPr>
                <w:rFonts w:ascii="Arial Black" w:hAnsi="Arial Black" w:cs="Arial"/>
                <w:sz w:val="28"/>
              </w:rPr>
            </w:pPr>
          </w:p>
        </w:tc>
        <w:tc>
          <w:tcPr>
            <w:tcW w:w="5101" w:type="dxa"/>
          </w:tcPr>
          <w:p w14:paraId="27C70CDF" w14:textId="77777777" w:rsidR="00A71F05" w:rsidRPr="00633EAF" w:rsidRDefault="0084204B" w:rsidP="00D4290D">
            <w:pPr>
              <w:rPr>
                <w:rFonts w:cs="Arial"/>
                <w:sz w:val="28"/>
                <w:szCs w:val="28"/>
              </w:rPr>
            </w:pPr>
            <w:r w:rsidRPr="00633EAF">
              <w:rPr>
                <w:rFonts w:cs="Arial"/>
                <w:sz w:val="28"/>
                <w:szCs w:val="28"/>
              </w:rPr>
              <w:t>Leader of the Council</w:t>
            </w:r>
            <w:r w:rsidR="00A71F05" w:rsidRPr="00633EAF">
              <w:rPr>
                <w:rFonts w:cs="Arial"/>
                <w:sz w:val="28"/>
                <w:szCs w:val="28"/>
              </w:rPr>
              <w:t xml:space="preserve"> </w:t>
            </w:r>
          </w:p>
          <w:p w14:paraId="1A458940" w14:textId="3FE90B93" w:rsidR="00A71F05" w:rsidRPr="00633EAF" w:rsidRDefault="00A71F05" w:rsidP="00D4290D">
            <w:pPr>
              <w:rPr>
                <w:rFonts w:cs="Arial"/>
                <w:sz w:val="28"/>
                <w:szCs w:val="28"/>
              </w:rPr>
            </w:pPr>
          </w:p>
        </w:tc>
      </w:tr>
      <w:tr w:rsidR="00A71F05" w:rsidRPr="007D7E0B" w14:paraId="77D44757" w14:textId="77777777" w:rsidTr="009B4288">
        <w:tc>
          <w:tcPr>
            <w:tcW w:w="3474" w:type="dxa"/>
          </w:tcPr>
          <w:p w14:paraId="72427E7A" w14:textId="77777777" w:rsidR="00A71F05" w:rsidRPr="007D7E0B" w:rsidRDefault="00A71F05" w:rsidP="00D4290D">
            <w:pPr>
              <w:pStyle w:val="Infotext"/>
              <w:rPr>
                <w:rFonts w:ascii="Arial Black" w:hAnsi="Arial Black" w:cs="Arial"/>
              </w:rPr>
            </w:pPr>
            <w:r w:rsidRPr="007D7E0B">
              <w:rPr>
                <w:rFonts w:ascii="Arial Black" w:hAnsi="Arial Black" w:cs="Arial"/>
              </w:rPr>
              <w:t>Key Decision:</w:t>
            </w:r>
          </w:p>
        </w:tc>
        <w:tc>
          <w:tcPr>
            <w:tcW w:w="5101" w:type="dxa"/>
          </w:tcPr>
          <w:p w14:paraId="7BFB0022" w14:textId="345A05DD" w:rsidR="00A71F05" w:rsidRPr="00633EAF" w:rsidRDefault="00AB5F8A" w:rsidP="00D4290D">
            <w:pPr>
              <w:pStyle w:val="Infotext"/>
              <w:rPr>
                <w:rFonts w:cs="Arial"/>
                <w:szCs w:val="28"/>
              </w:rPr>
            </w:pPr>
            <w:r>
              <w:rPr>
                <w:rFonts w:cs="Arial"/>
                <w:szCs w:val="28"/>
              </w:rPr>
              <w:t xml:space="preserve">Yes, as the expansion of </w:t>
            </w:r>
            <w:r w:rsidR="00B36C0C">
              <w:rPr>
                <w:rFonts w:cs="Arial"/>
                <w:szCs w:val="28"/>
              </w:rPr>
              <w:t xml:space="preserve">the </w:t>
            </w:r>
            <w:r>
              <w:rPr>
                <w:rFonts w:cs="Arial"/>
                <w:szCs w:val="28"/>
              </w:rPr>
              <w:t xml:space="preserve">ULEZ affects all wards in the Borough </w:t>
            </w:r>
          </w:p>
          <w:p w14:paraId="1AEC570D" w14:textId="77777777" w:rsidR="00A71F05" w:rsidRPr="00633EAF" w:rsidRDefault="00A71F05" w:rsidP="006B0B79">
            <w:pPr>
              <w:pStyle w:val="Infotext"/>
              <w:rPr>
                <w:rFonts w:cs="Arial"/>
                <w:szCs w:val="28"/>
              </w:rPr>
            </w:pPr>
          </w:p>
        </w:tc>
      </w:tr>
      <w:tr w:rsidR="00A71F05" w14:paraId="2129338D" w14:textId="77777777" w:rsidTr="009B4288">
        <w:tc>
          <w:tcPr>
            <w:tcW w:w="3474" w:type="dxa"/>
          </w:tcPr>
          <w:p w14:paraId="25C1C899" w14:textId="77777777" w:rsidR="00A71F05" w:rsidRPr="00CF184E" w:rsidRDefault="00A71F05" w:rsidP="00D4290D">
            <w:pPr>
              <w:rPr>
                <w:rFonts w:ascii="Arial Black" w:hAnsi="Arial Black" w:cs="Arial"/>
                <w:sz w:val="28"/>
              </w:rPr>
            </w:pPr>
            <w:r w:rsidRPr="00CF184E">
              <w:rPr>
                <w:rFonts w:ascii="Arial Black" w:hAnsi="Arial Black" w:cs="Arial"/>
                <w:sz w:val="28"/>
              </w:rPr>
              <w:t>Power to be exercised:</w:t>
            </w:r>
          </w:p>
          <w:p w14:paraId="16394FF4" w14:textId="77777777" w:rsidR="00A71F05" w:rsidRPr="00CF184E" w:rsidRDefault="00A71F05" w:rsidP="00D4290D">
            <w:pPr>
              <w:rPr>
                <w:rFonts w:ascii="Arial Black" w:hAnsi="Arial Black" w:cs="Arial"/>
                <w:sz w:val="28"/>
              </w:rPr>
            </w:pPr>
          </w:p>
        </w:tc>
        <w:tc>
          <w:tcPr>
            <w:tcW w:w="5101" w:type="dxa"/>
          </w:tcPr>
          <w:p w14:paraId="2FBD0A39" w14:textId="2F8D0A15" w:rsidR="00A71F05" w:rsidRPr="00633EAF" w:rsidRDefault="006870EE" w:rsidP="00D4290D">
            <w:pPr>
              <w:rPr>
                <w:rFonts w:cs="Arial"/>
                <w:sz w:val="28"/>
                <w:szCs w:val="28"/>
              </w:rPr>
            </w:pPr>
            <w:r>
              <w:rPr>
                <w:rFonts w:cs="Arial"/>
                <w:sz w:val="28"/>
                <w:szCs w:val="28"/>
              </w:rPr>
              <w:t xml:space="preserve">Paragraph 3 of the Appendix to the Executive Procedure Rules </w:t>
            </w:r>
          </w:p>
          <w:p w14:paraId="023E0A99" w14:textId="77777777" w:rsidR="00A71F05" w:rsidRPr="00633EAF" w:rsidRDefault="00A71F05" w:rsidP="00D4290D">
            <w:pPr>
              <w:rPr>
                <w:rFonts w:cs="Arial"/>
                <w:sz w:val="28"/>
                <w:szCs w:val="28"/>
              </w:rPr>
            </w:pPr>
          </w:p>
        </w:tc>
      </w:tr>
      <w:tr w:rsidR="00A71F05" w14:paraId="273CAB06" w14:textId="77777777" w:rsidTr="009B4288">
        <w:tc>
          <w:tcPr>
            <w:tcW w:w="3474" w:type="dxa"/>
          </w:tcPr>
          <w:p w14:paraId="44AB62E5" w14:textId="77777777" w:rsidR="00A71F05" w:rsidRPr="00CF184E" w:rsidRDefault="00A71F05" w:rsidP="00D4290D">
            <w:pPr>
              <w:pStyle w:val="Infotext"/>
              <w:rPr>
                <w:rFonts w:ascii="Arial Black" w:hAnsi="Arial Black" w:cs="Arial"/>
              </w:rPr>
            </w:pPr>
            <w:r w:rsidRPr="00CF184E">
              <w:rPr>
                <w:rFonts w:ascii="Arial Black" w:hAnsi="Arial Black" w:cs="Arial"/>
              </w:rPr>
              <w:t>Exempt:</w:t>
            </w:r>
          </w:p>
          <w:p w14:paraId="7DFDBE49" w14:textId="77777777" w:rsidR="00A71F05" w:rsidRPr="00CF184E" w:rsidRDefault="00A71F05" w:rsidP="00D4290D">
            <w:pPr>
              <w:pStyle w:val="Infotext"/>
              <w:rPr>
                <w:rFonts w:ascii="Arial Black" w:hAnsi="Arial Black" w:cs="Arial"/>
              </w:rPr>
            </w:pPr>
          </w:p>
        </w:tc>
        <w:tc>
          <w:tcPr>
            <w:tcW w:w="5101" w:type="dxa"/>
          </w:tcPr>
          <w:p w14:paraId="4534055B" w14:textId="1E25038E" w:rsidR="00CB760D" w:rsidRPr="00633EAF" w:rsidRDefault="00CB760D" w:rsidP="00CB760D">
            <w:pPr>
              <w:pStyle w:val="Infotext"/>
              <w:rPr>
                <w:rFonts w:cs="Arial"/>
                <w:szCs w:val="28"/>
              </w:rPr>
            </w:pPr>
            <w:r w:rsidRPr="00633EAF">
              <w:rPr>
                <w:rFonts w:cs="Arial"/>
                <w:szCs w:val="28"/>
              </w:rPr>
              <w:t xml:space="preserve">No, but appendix </w:t>
            </w:r>
            <w:r>
              <w:rPr>
                <w:rFonts w:cs="Arial"/>
                <w:szCs w:val="28"/>
              </w:rPr>
              <w:t xml:space="preserve">3 </w:t>
            </w:r>
            <w:r w:rsidRPr="00633EAF">
              <w:rPr>
                <w:rFonts w:cs="Arial"/>
                <w:szCs w:val="28"/>
              </w:rPr>
              <w:t xml:space="preserve">is confidential </w:t>
            </w:r>
            <w:r>
              <w:rPr>
                <w:rFonts w:cs="Arial"/>
                <w:szCs w:val="28"/>
              </w:rPr>
              <w:t>by virtue of paragraph of paragraph 5 of Schedule 12</w:t>
            </w:r>
            <w:r>
              <w:rPr>
                <w:rFonts w:cs="Arial"/>
                <w:szCs w:val="28"/>
              </w:rPr>
              <w:t>a</w:t>
            </w:r>
            <w:r>
              <w:rPr>
                <w:rFonts w:cs="Arial"/>
                <w:szCs w:val="28"/>
              </w:rPr>
              <w:t xml:space="preserve"> of the Local Government Act 1972 in that</w:t>
            </w:r>
            <w:r w:rsidRPr="00633EAF">
              <w:rPr>
                <w:rFonts w:cs="Arial"/>
                <w:szCs w:val="28"/>
              </w:rPr>
              <w:t xml:space="preserve"> it contains information in respect of which a claim for legal professional privilege could be maintained in legal proceedings </w:t>
            </w:r>
          </w:p>
          <w:p w14:paraId="2AD42282" w14:textId="790342CB" w:rsidR="006B0B79" w:rsidRPr="00633EAF" w:rsidRDefault="006B0B79" w:rsidP="006B0B79">
            <w:pPr>
              <w:pStyle w:val="Infotext"/>
              <w:rPr>
                <w:rFonts w:cs="Arial"/>
                <w:szCs w:val="28"/>
              </w:rPr>
            </w:pPr>
          </w:p>
        </w:tc>
      </w:tr>
      <w:tr w:rsidR="0084204B" w14:paraId="0863F26D" w14:textId="77777777" w:rsidTr="009B4288">
        <w:tc>
          <w:tcPr>
            <w:tcW w:w="3474" w:type="dxa"/>
          </w:tcPr>
          <w:p w14:paraId="5D79C355" w14:textId="71C56E79" w:rsidR="0084204B" w:rsidRPr="00CF184E" w:rsidRDefault="0084204B" w:rsidP="00CD7F86">
            <w:pPr>
              <w:spacing w:line="280" w:lineRule="exact"/>
              <w:rPr>
                <w:rFonts w:ascii="Arial Black" w:hAnsi="Arial Black" w:cs="Arial"/>
                <w:sz w:val="28"/>
              </w:rPr>
            </w:pPr>
            <w:r w:rsidRPr="00CF184E">
              <w:rPr>
                <w:rFonts w:ascii="Arial Black" w:hAnsi="Arial Black" w:cs="Arial"/>
                <w:sz w:val="28"/>
              </w:rPr>
              <w:t>Urgent:</w:t>
            </w:r>
          </w:p>
          <w:p w14:paraId="23477447" w14:textId="77777777" w:rsidR="0084204B" w:rsidRPr="00CF184E" w:rsidRDefault="0084204B" w:rsidP="00CD7F86">
            <w:pPr>
              <w:spacing w:line="280" w:lineRule="exact"/>
              <w:rPr>
                <w:rFonts w:ascii="Arial Black" w:hAnsi="Arial Black" w:cs="Arial"/>
                <w:sz w:val="28"/>
              </w:rPr>
            </w:pPr>
          </w:p>
        </w:tc>
        <w:tc>
          <w:tcPr>
            <w:tcW w:w="5101" w:type="dxa"/>
          </w:tcPr>
          <w:p w14:paraId="0744823E" w14:textId="3E2C1B4F" w:rsidR="0084204B" w:rsidRPr="00633EAF" w:rsidRDefault="0084204B" w:rsidP="00CD7F86">
            <w:pPr>
              <w:rPr>
                <w:rFonts w:cs="Arial"/>
                <w:sz w:val="28"/>
                <w:szCs w:val="28"/>
              </w:rPr>
            </w:pPr>
            <w:r w:rsidRPr="00633EAF">
              <w:rPr>
                <w:rFonts w:cs="Arial"/>
                <w:sz w:val="28"/>
                <w:szCs w:val="28"/>
              </w:rPr>
              <w:t xml:space="preserve">Yes </w:t>
            </w:r>
          </w:p>
          <w:p w14:paraId="606229AC" w14:textId="77777777" w:rsidR="00536D86" w:rsidRPr="00633EAF" w:rsidRDefault="00536D86" w:rsidP="00CD7F86">
            <w:pPr>
              <w:rPr>
                <w:rFonts w:cs="Arial"/>
                <w:sz w:val="28"/>
                <w:szCs w:val="28"/>
              </w:rPr>
            </w:pPr>
          </w:p>
          <w:p w14:paraId="0369AECF" w14:textId="77777777" w:rsidR="0084204B" w:rsidRPr="00633EAF" w:rsidRDefault="0084204B" w:rsidP="006870EE">
            <w:pPr>
              <w:rPr>
                <w:rFonts w:cs="Arial"/>
                <w:sz w:val="28"/>
                <w:szCs w:val="28"/>
              </w:rPr>
            </w:pPr>
          </w:p>
        </w:tc>
      </w:tr>
      <w:tr w:rsidR="00D3348C" w14:paraId="3DFC7261" w14:textId="77777777" w:rsidTr="009B4288">
        <w:tc>
          <w:tcPr>
            <w:tcW w:w="3474" w:type="dxa"/>
          </w:tcPr>
          <w:p w14:paraId="7D57EE0D" w14:textId="77777777" w:rsidR="00D3348C" w:rsidRDefault="00D3348C" w:rsidP="00D4290D">
            <w:pPr>
              <w:pStyle w:val="Infotext"/>
              <w:rPr>
                <w:rFonts w:ascii="Arial Black" w:hAnsi="Arial Black" w:cs="Arial"/>
              </w:rPr>
            </w:pPr>
            <w:r>
              <w:rPr>
                <w:rFonts w:ascii="Arial Black" w:hAnsi="Arial Black" w:cs="Arial"/>
              </w:rPr>
              <w:t>Wards affected:</w:t>
            </w:r>
          </w:p>
          <w:p w14:paraId="31545A3E" w14:textId="77777777" w:rsidR="00D3348C" w:rsidRPr="00CF184E" w:rsidRDefault="00D3348C" w:rsidP="00D4290D">
            <w:pPr>
              <w:pStyle w:val="Infotext"/>
              <w:rPr>
                <w:rFonts w:ascii="Arial Black" w:hAnsi="Arial Black" w:cs="Arial"/>
              </w:rPr>
            </w:pPr>
          </w:p>
        </w:tc>
        <w:tc>
          <w:tcPr>
            <w:tcW w:w="5101" w:type="dxa"/>
          </w:tcPr>
          <w:p w14:paraId="5E7EB541" w14:textId="1A5BE3F4" w:rsidR="00D3348C" w:rsidRPr="00633EAF" w:rsidRDefault="00536D86" w:rsidP="00536D86">
            <w:pPr>
              <w:pStyle w:val="Header"/>
              <w:rPr>
                <w:rFonts w:cs="Arial"/>
                <w:sz w:val="28"/>
                <w:szCs w:val="28"/>
              </w:rPr>
            </w:pPr>
            <w:r w:rsidRPr="00633EAF">
              <w:rPr>
                <w:rFonts w:cs="Arial"/>
                <w:sz w:val="28"/>
                <w:szCs w:val="28"/>
              </w:rPr>
              <w:lastRenderedPageBreak/>
              <w:t>All Wards</w:t>
            </w:r>
          </w:p>
        </w:tc>
      </w:tr>
      <w:tr w:rsidR="00A71F05" w:rsidRPr="007E2F45" w14:paraId="7DFD7618" w14:textId="77777777" w:rsidTr="009B4288">
        <w:tc>
          <w:tcPr>
            <w:tcW w:w="3474" w:type="dxa"/>
          </w:tcPr>
          <w:p w14:paraId="18BCBF12" w14:textId="77777777" w:rsidR="00A71F05" w:rsidRPr="00CB760D" w:rsidRDefault="00A71F05" w:rsidP="00D4290D">
            <w:pPr>
              <w:pStyle w:val="Infotext"/>
              <w:rPr>
                <w:rFonts w:ascii="Arial Black" w:hAnsi="Arial Black" w:cs="Arial"/>
                <w:szCs w:val="28"/>
              </w:rPr>
            </w:pPr>
            <w:r w:rsidRPr="00CB760D">
              <w:rPr>
                <w:rFonts w:ascii="Arial Black" w:hAnsi="Arial Black" w:cs="Arial"/>
                <w:szCs w:val="28"/>
              </w:rPr>
              <w:t>Enclosures:</w:t>
            </w:r>
          </w:p>
          <w:p w14:paraId="1BFAC220" w14:textId="77777777" w:rsidR="00A71F05" w:rsidRPr="007E2F45" w:rsidRDefault="00A71F05" w:rsidP="00D4290D">
            <w:pPr>
              <w:pStyle w:val="Infotext"/>
              <w:rPr>
                <w:rFonts w:cs="Arial"/>
                <w:szCs w:val="28"/>
              </w:rPr>
            </w:pPr>
          </w:p>
        </w:tc>
        <w:tc>
          <w:tcPr>
            <w:tcW w:w="5101" w:type="dxa"/>
          </w:tcPr>
          <w:p w14:paraId="3DEF5B78" w14:textId="77777777" w:rsidR="001B1E4F" w:rsidRPr="007E2F45" w:rsidRDefault="001B1E4F" w:rsidP="00D4290D">
            <w:pPr>
              <w:rPr>
                <w:rFonts w:cs="Arial"/>
                <w:sz w:val="28"/>
                <w:szCs w:val="28"/>
              </w:rPr>
            </w:pPr>
            <w:r w:rsidRPr="007E2F45">
              <w:rPr>
                <w:rFonts w:cs="Arial"/>
                <w:sz w:val="28"/>
                <w:szCs w:val="28"/>
              </w:rPr>
              <w:t xml:space="preserve">Appendix 1 Pre Action Protocol Letter </w:t>
            </w:r>
          </w:p>
          <w:p w14:paraId="504F5A55" w14:textId="02A1E6D7" w:rsidR="00925445" w:rsidRDefault="001B1E4F" w:rsidP="001B1E4F">
            <w:pPr>
              <w:rPr>
                <w:rFonts w:cs="Arial"/>
                <w:sz w:val="28"/>
                <w:szCs w:val="28"/>
              </w:rPr>
            </w:pPr>
            <w:r w:rsidRPr="007E2F45">
              <w:rPr>
                <w:rFonts w:cs="Arial"/>
                <w:sz w:val="28"/>
                <w:szCs w:val="28"/>
              </w:rPr>
              <w:t>Appendix 2 The Mayor of London and T</w:t>
            </w:r>
            <w:r w:rsidR="001139DE">
              <w:rPr>
                <w:rFonts w:cs="Arial"/>
                <w:sz w:val="28"/>
                <w:szCs w:val="28"/>
              </w:rPr>
              <w:t xml:space="preserve">ransport </w:t>
            </w:r>
            <w:r w:rsidRPr="007E2F45">
              <w:rPr>
                <w:rFonts w:cs="Arial"/>
                <w:sz w:val="28"/>
                <w:szCs w:val="28"/>
              </w:rPr>
              <w:t>f</w:t>
            </w:r>
            <w:r w:rsidR="001139DE">
              <w:rPr>
                <w:rFonts w:cs="Arial"/>
                <w:sz w:val="28"/>
                <w:szCs w:val="28"/>
              </w:rPr>
              <w:t xml:space="preserve">or </w:t>
            </w:r>
            <w:r w:rsidRPr="007E2F45">
              <w:rPr>
                <w:rFonts w:cs="Arial"/>
                <w:sz w:val="28"/>
                <w:szCs w:val="28"/>
              </w:rPr>
              <w:t>L</w:t>
            </w:r>
            <w:r w:rsidR="001139DE">
              <w:rPr>
                <w:rFonts w:cs="Arial"/>
                <w:sz w:val="28"/>
                <w:szCs w:val="28"/>
              </w:rPr>
              <w:t>ondon</w:t>
            </w:r>
            <w:r w:rsidRPr="007E2F45">
              <w:rPr>
                <w:rFonts w:cs="Arial"/>
                <w:sz w:val="28"/>
                <w:szCs w:val="28"/>
              </w:rPr>
              <w:t>’s response to the Pre Action Protocol letter</w:t>
            </w:r>
          </w:p>
          <w:p w14:paraId="60D24712" w14:textId="54D6236C" w:rsidR="00A71F05" w:rsidRPr="007E2F45" w:rsidRDefault="001139DE" w:rsidP="001B1E4F">
            <w:pPr>
              <w:rPr>
                <w:rFonts w:cs="Arial"/>
                <w:sz w:val="28"/>
                <w:szCs w:val="28"/>
              </w:rPr>
            </w:pPr>
            <w:r>
              <w:rPr>
                <w:rFonts w:cs="Arial"/>
                <w:sz w:val="28"/>
                <w:szCs w:val="28"/>
              </w:rPr>
              <w:t xml:space="preserve">Exempt </w:t>
            </w:r>
            <w:r w:rsidR="00925445">
              <w:rPr>
                <w:rFonts w:cs="Arial"/>
                <w:sz w:val="28"/>
                <w:szCs w:val="28"/>
              </w:rPr>
              <w:t xml:space="preserve">Appendix 3 Confidential Legal Advice  </w:t>
            </w:r>
            <w:r w:rsidR="00CB760D">
              <w:rPr>
                <w:rFonts w:cs="Arial"/>
                <w:sz w:val="28"/>
                <w:szCs w:val="28"/>
              </w:rPr>
              <w:t>(to be tabled)</w:t>
            </w:r>
            <w:r w:rsidR="001B1E4F" w:rsidRPr="007E2F45">
              <w:rPr>
                <w:rFonts w:cs="Arial"/>
                <w:sz w:val="28"/>
                <w:szCs w:val="28"/>
              </w:rPr>
              <w:t xml:space="preserve"> </w:t>
            </w:r>
          </w:p>
        </w:tc>
      </w:tr>
    </w:tbl>
    <w:p w14:paraId="7FA880E2" w14:textId="77777777" w:rsidR="00B9613C" w:rsidRPr="007E2F45" w:rsidRDefault="00B9613C" w:rsidP="00A71F05">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71F05" w:rsidRPr="007E2F45" w14:paraId="118F2BB5" w14:textId="77777777">
        <w:tc>
          <w:tcPr>
            <w:tcW w:w="8525" w:type="dxa"/>
            <w:tcBorders>
              <w:top w:val="nil"/>
              <w:left w:val="nil"/>
              <w:right w:val="nil"/>
            </w:tcBorders>
          </w:tcPr>
          <w:p w14:paraId="7E655C34" w14:textId="77777777" w:rsidR="00A71F05" w:rsidRPr="007E2F45" w:rsidRDefault="00A71F05" w:rsidP="00A6606C">
            <w:pPr>
              <w:pStyle w:val="Heading2"/>
              <w:rPr>
                <w:rFonts w:ascii="Arial" w:hAnsi="Arial"/>
                <w:sz w:val="28"/>
                <w:szCs w:val="28"/>
              </w:rPr>
            </w:pPr>
            <w:r w:rsidRPr="007E2F45">
              <w:rPr>
                <w:rFonts w:ascii="Arial" w:hAnsi="Arial"/>
                <w:sz w:val="28"/>
                <w:szCs w:val="28"/>
              </w:rPr>
              <w:t>Section 1 – Summary and Recommendations</w:t>
            </w:r>
          </w:p>
        </w:tc>
      </w:tr>
      <w:tr w:rsidR="00A71F05" w:rsidRPr="007E2F45" w14:paraId="3978BD8A" w14:textId="77777777">
        <w:tc>
          <w:tcPr>
            <w:tcW w:w="8525" w:type="dxa"/>
          </w:tcPr>
          <w:p w14:paraId="3C8C7920" w14:textId="77777777" w:rsidR="00A71F05" w:rsidRPr="007E2F45" w:rsidRDefault="00A71F05" w:rsidP="00D4290D">
            <w:pPr>
              <w:rPr>
                <w:rFonts w:cs="Arial"/>
                <w:sz w:val="28"/>
                <w:szCs w:val="28"/>
              </w:rPr>
            </w:pPr>
          </w:p>
          <w:p w14:paraId="740F8734" w14:textId="03717207" w:rsidR="00A71F05" w:rsidRPr="007E2F45" w:rsidRDefault="00A71F05" w:rsidP="00A6606C">
            <w:pPr>
              <w:spacing w:after="240"/>
              <w:rPr>
                <w:rFonts w:cs="Arial"/>
                <w:sz w:val="28"/>
                <w:szCs w:val="28"/>
              </w:rPr>
            </w:pPr>
            <w:r w:rsidRPr="007E2F45">
              <w:rPr>
                <w:rFonts w:cs="Arial"/>
                <w:sz w:val="28"/>
                <w:szCs w:val="28"/>
              </w:rPr>
              <w:t xml:space="preserve">This report </w:t>
            </w:r>
            <w:r w:rsidR="00E822FE" w:rsidRPr="007E2F45">
              <w:rPr>
                <w:rFonts w:cs="Arial"/>
                <w:sz w:val="28"/>
                <w:szCs w:val="28"/>
              </w:rPr>
              <w:t xml:space="preserve">explains the decision to expand </w:t>
            </w:r>
            <w:r w:rsidR="0039143D">
              <w:rPr>
                <w:rFonts w:cs="Arial"/>
                <w:sz w:val="28"/>
                <w:szCs w:val="28"/>
              </w:rPr>
              <w:t xml:space="preserve">the </w:t>
            </w:r>
            <w:proofErr w:type="spellStart"/>
            <w:r w:rsidR="0039143D">
              <w:rPr>
                <w:rFonts w:cs="Arial"/>
                <w:sz w:val="28"/>
                <w:szCs w:val="28"/>
              </w:rPr>
              <w:t>Ultra Low</w:t>
            </w:r>
            <w:proofErr w:type="spellEnd"/>
            <w:r w:rsidR="0039143D">
              <w:rPr>
                <w:rFonts w:cs="Arial"/>
                <w:sz w:val="28"/>
                <w:szCs w:val="28"/>
              </w:rPr>
              <w:t xml:space="preserve"> Emission Zone </w:t>
            </w:r>
            <w:r w:rsidR="009B5F20">
              <w:rPr>
                <w:rFonts w:cs="Arial"/>
                <w:sz w:val="28"/>
                <w:szCs w:val="28"/>
              </w:rPr>
              <w:t xml:space="preserve">(‘ULEZ’) </w:t>
            </w:r>
            <w:r w:rsidR="00E822FE" w:rsidRPr="007E2F45">
              <w:rPr>
                <w:rFonts w:cs="Arial"/>
                <w:sz w:val="28"/>
                <w:szCs w:val="28"/>
              </w:rPr>
              <w:t xml:space="preserve">to Harrow, and sets out the route and possible grounds for challenging it in the High Court </w:t>
            </w:r>
          </w:p>
          <w:p w14:paraId="12C2DA24" w14:textId="5ECF8BC6" w:rsidR="00A71F05" w:rsidRPr="00CB760D" w:rsidRDefault="00A71F05" w:rsidP="00A6606C">
            <w:pPr>
              <w:rPr>
                <w:rFonts w:cs="Arial"/>
                <w:bCs/>
                <w:sz w:val="28"/>
                <w:szCs w:val="28"/>
              </w:rPr>
            </w:pPr>
            <w:r w:rsidRPr="007E2F45">
              <w:rPr>
                <w:rFonts w:cs="Arial"/>
                <w:b/>
                <w:sz w:val="28"/>
                <w:szCs w:val="28"/>
              </w:rPr>
              <w:t xml:space="preserve">Recommendations: </w:t>
            </w:r>
            <w:r w:rsidR="00CB760D" w:rsidRPr="00CB760D">
              <w:rPr>
                <w:rFonts w:cs="Arial"/>
                <w:bCs/>
                <w:sz w:val="28"/>
                <w:szCs w:val="28"/>
              </w:rPr>
              <w:t>That</w:t>
            </w:r>
          </w:p>
          <w:p w14:paraId="5837617B" w14:textId="7A2373EC" w:rsidR="00A71F05" w:rsidRPr="007E2F45" w:rsidRDefault="0049672B" w:rsidP="00D4290D">
            <w:pPr>
              <w:rPr>
                <w:rFonts w:cs="Arial"/>
                <w:sz w:val="28"/>
                <w:szCs w:val="28"/>
              </w:rPr>
            </w:pPr>
            <w:r w:rsidRPr="007E2F45">
              <w:rPr>
                <w:rFonts w:cs="Arial"/>
                <w:sz w:val="28"/>
                <w:szCs w:val="28"/>
              </w:rPr>
              <w:t xml:space="preserve">The Leader of the Council is </w:t>
            </w:r>
            <w:r w:rsidR="00A71F05" w:rsidRPr="007E2F45">
              <w:rPr>
                <w:rFonts w:cs="Arial"/>
                <w:sz w:val="28"/>
                <w:szCs w:val="28"/>
              </w:rPr>
              <w:t>requested to</w:t>
            </w:r>
            <w:r w:rsidR="00351064" w:rsidRPr="007E2F45">
              <w:rPr>
                <w:rFonts w:cs="Arial"/>
                <w:sz w:val="28"/>
                <w:szCs w:val="28"/>
              </w:rPr>
              <w:t xml:space="preserve"> consider</w:t>
            </w:r>
            <w:r w:rsidR="00A71F05" w:rsidRPr="007E2F45">
              <w:rPr>
                <w:rFonts w:cs="Arial"/>
                <w:sz w:val="28"/>
                <w:szCs w:val="28"/>
              </w:rPr>
              <w:t>:</w:t>
            </w:r>
          </w:p>
          <w:p w14:paraId="0792056B" w14:textId="77777777" w:rsidR="00351064" w:rsidRPr="007E2F45" w:rsidRDefault="00351064" w:rsidP="00351064">
            <w:pPr>
              <w:rPr>
                <w:rFonts w:cs="Arial"/>
                <w:sz w:val="28"/>
                <w:szCs w:val="28"/>
              </w:rPr>
            </w:pPr>
          </w:p>
          <w:p w14:paraId="09DDF846" w14:textId="3A8A8C44" w:rsidR="00351064" w:rsidRPr="007E2F45" w:rsidRDefault="00351064" w:rsidP="00351064">
            <w:pPr>
              <w:rPr>
                <w:rFonts w:cs="Arial"/>
                <w:sz w:val="28"/>
                <w:szCs w:val="28"/>
              </w:rPr>
            </w:pPr>
            <w:r w:rsidRPr="007E2F45">
              <w:rPr>
                <w:rFonts w:cs="Arial"/>
                <w:sz w:val="28"/>
                <w:szCs w:val="28"/>
              </w:rPr>
              <w:t xml:space="preserve">Authorising the Director of Legal &amp; Governance Services to immediately issue Proceedings in the High Court </w:t>
            </w:r>
            <w:r w:rsidR="00672C3E">
              <w:rPr>
                <w:rFonts w:cs="Arial"/>
                <w:sz w:val="28"/>
                <w:szCs w:val="28"/>
              </w:rPr>
              <w:t xml:space="preserve">against </w:t>
            </w:r>
            <w:r w:rsidRPr="007E2F45">
              <w:rPr>
                <w:rFonts w:cs="Arial"/>
                <w:sz w:val="28"/>
                <w:szCs w:val="28"/>
              </w:rPr>
              <w:t xml:space="preserve">the Mayor of London </w:t>
            </w:r>
            <w:r w:rsidR="003E5B10">
              <w:rPr>
                <w:rFonts w:cs="Arial"/>
                <w:sz w:val="28"/>
                <w:szCs w:val="28"/>
              </w:rPr>
              <w:t xml:space="preserve">and Transport for London (‘TfL’) </w:t>
            </w:r>
            <w:r w:rsidR="00557AC4">
              <w:rPr>
                <w:rFonts w:cs="Arial"/>
                <w:sz w:val="28"/>
                <w:szCs w:val="28"/>
              </w:rPr>
              <w:t xml:space="preserve">to </w:t>
            </w:r>
            <w:r w:rsidRPr="007E2F45">
              <w:rPr>
                <w:rFonts w:cs="Arial"/>
                <w:sz w:val="28"/>
                <w:szCs w:val="28"/>
              </w:rPr>
              <w:t>challeng</w:t>
            </w:r>
            <w:r w:rsidR="00557AC4">
              <w:rPr>
                <w:rFonts w:cs="Arial"/>
                <w:sz w:val="28"/>
                <w:szCs w:val="28"/>
              </w:rPr>
              <w:t xml:space="preserve">e </w:t>
            </w:r>
            <w:r w:rsidRPr="007E2F45">
              <w:rPr>
                <w:rFonts w:cs="Arial"/>
                <w:sz w:val="28"/>
                <w:szCs w:val="28"/>
              </w:rPr>
              <w:t xml:space="preserve">the decision </w:t>
            </w:r>
            <w:r w:rsidR="00557AC4">
              <w:rPr>
                <w:rFonts w:cs="Arial"/>
                <w:sz w:val="28"/>
                <w:szCs w:val="28"/>
              </w:rPr>
              <w:t xml:space="preserve">made </w:t>
            </w:r>
            <w:r w:rsidRPr="007E2F45">
              <w:rPr>
                <w:rFonts w:cs="Arial"/>
                <w:sz w:val="28"/>
                <w:szCs w:val="28"/>
              </w:rPr>
              <w:t xml:space="preserve">in November 2022 to extend the </w:t>
            </w:r>
            <w:proofErr w:type="spellStart"/>
            <w:r w:rsidRPr="007E2F45">
              <w:rPr>
                <w:rFonts w:cs="Arial"/>
                <w:sz w:val="28"/>
                <w:szCs w:val="28"/>
              </w:rPr>
              <w:t>Ultra Low</w:t>
            </w:r>
            <w:proofErr w:type="spellEnd"/>
            <w:r w:rsidRPr="007E2F45">
              <w:rPr>
                <w:rFonts w:cs="Arial"/>
                <w:sz w:val="28"/>
                <w:szCs w:val="28"/>
              </w:rPr>
              <w:t xml:space="preserve"> Emission Zone (‘ULEZ’) to the whole of Greater London from 29</w:t>
            </w:r>
            <w:r w:rsidRPr="007E2F45">
              <w:rPr>
                <w:rFonts w:cs="Arial"/>
                <w:sz w:val="28"/>
                <w:szCs w:val="28"/>
                <w:vertAlign w:val="superscript"/>
              </w:rPr>
              <w:t>th</w:t>
            </w:r>
            <w:r w:rsidRPr="007E2F45">
              <w:rPr>
                <w:rFonts w:cs="Arial"/>
                <w:sz w:val="28"/>
                <w:szCs w:val="28"/>
              </w:rPr>
              <w:t xml:space="preserve"> August 2023. </w:t>
            </w:r>
          </w:p>
          <w:p w14:paraId="4D973DAC" w14:textId="77777777" w:rsidR="00CD634A" w:rsidRDefault="00A1507D" w:rsidP="00CD634A">
            <w:pPr>
              <w:rPr>
                <w:rFonts w:cs="Arial"/>
                <w:sz w:val="28"/>
                <w:szCs w:val="28"/>
              </w:rPr>
            </w:pPr>
            <w:r w:rsidRPr="007E2F45">
              <w:rPr>
                <w:rFonts w:cs="Arial"/>
                <w:sz w:val="28"/>
                <w:szCs w:val="28"/>
              </w:rPr>
              <w:t xml:space="preserve"> </w:t>
            </w:r>
          </w:p>
          <w:p w14:paraId="21657EE9" w14:textId="274593BC" w:rsidR="00A71F05" w:rsidRPr="007E2F45" w:rsidRDefault="00A71F05" w:rsidP="00CD634A">
            <w:pPr>
              <w:rPr>
                <w:rFonts w:cs="Arial"/>
                <w:sz w:val="28"/>
                <w:szCs w:val="28"/>
              </w:rPr>
            </w:pPr>
            <w:r w:rsidRPr="007E2F45">
              <w:rPr>
                <w:rFonts w:cs="Arial"/>
                <w:b/>
                <w:sz w:val="28"/>
                <w:szCs w:val="28"/>
              </w:rPr>
              <w:t>Reason:</w:t>
            </w:r>
            <w:r w:rsidRPr="007E2F45">
              <w:rPr>
                <w:rFonts w:cs="Arial"/>
                <w:sz w:val="28"/>
                <w:szCs w:val="28"/>
              </w:rPr>
              <w:t xml:space="preserve"> </w:t>
            </w:r>
            <w:r w:rsidR="00B60E49" w:rsidRPr="007E2F45">
              <w:rPr>
                <w:rFonts w:cs="Arial"/>
                <w:sz w:val="28"/>
                <w:szCs w:val="28"/>
              </w:rPr>
              <w:t xml:space="preserve">If Harrow is to </w:t>
            </w:r>
            <w:r w:rsidR="00557AC4">
              <w:rPr>
                <w:rFonts w:cs="Arial"/>
                <w:sz w:val="28"/>
                <w:szCs w:val="28"/>
              </w:rPr>
              <w:t xml:space="preserve">issue </w:t>
            </w:r>
            <w:r w:rsidR="00B60E49" w:rsidRPr="007E2F45">
              <w:rPr>
                <w:rFonts w:cs="Arial"/>
                <w:sz w:val="28"/>
                <w:szCs w:val="28"/>
              </w:rPr>
              <w:t xml:space="preserve">a legal challenge to the ULEZ decision, it must be submitted by </w:t>
            </w:r>
            <w:r w:rsidR="00557AC4">
              <w:rPr>
                <w:rFonts w:cs="Arial"/>
                <w:sz w:val="28"/>
                <w:szCs w:val="28"/>
              </w:rPr>
              <w:t xml:space="preserve">no later than </w:t>
            </w:r>
            <w:r w:rsidR="00B60E49" w:rsidRPr="007E2F45">
              <w:rPr>
                <w:rFonts w:cs="Arial"/>
                <w:sz w:val="28"/>
                <w:szCs w:val="28"/>
              </w:rPr>
              <w:t>24</w:t>
            </w:r>
            <w:r w:rsidR="00B60E49" w:rsidRPr="007E2F45">
              <w:rPr>
                <w:rFonts w:cs="Arial"/>
                <w:sz w:val="28"/>
                <w:szCs w:val="28"/>
                <w:vertAlign w:val="superscript"/>
              </w:rPr>
              <w:t>th</w:t>
            </w:r>
            <w:r w:rsidR="00B60E49" w:rsidRPr="007E2F45">
              <w:rPr>
                <w:rFonts w:cs="Arial"/>
                <w:sz w:val="28"/>
                <w:szCs w:val="28"/>
              </w:rPr>
              <w:t xml:space="preserve"> February 2023. </w:t>
            </w:r>
          </w:p>
          <w:p w14:paraId="4DC27E6B" w14:textId="77777777" w:rsidR="00A71F05" w:rsidRPr="007E2F45" w:rsidRDefault="00A71F05" w:rsidP="00D4290D">
            <w:pPr>
              <w:jc w:val="both"/>
              <w:rPr>
                <w:rFonts w:cs="Arial"/>
                <w:sz w:val="28"/>
                <w:szCs w:val="28"/>
              </w:rPr>
            </w:pPr>
          </w:p>
        </w:tc>
      </w:tr>
    </w:tbl>
    <w:p w14:paraId="680C3BD6" w14:textId="77777777" w:rsidR="00A71F05" w:rsidRDefault="00A71F05" w:rsidP="00004B16">
      <w:pPr>
        <w:pStyle w:val="Heading1"/>
        <w:rPr>
          <w:color w:val="0000FF"/>
          <w:sz w:val="28"/>
        </w:rPr>
        <w:sectPr w:rsidR="00A71F05" w:rsidSect="00777CC5">
          <w:footerReference w:type="default" r:id="rId11"/>
          <w:footerReference w:type="first" r:id="rId12"/>
          <w:type w:val="continuous"/>
          <w:pgSz w:w="11909" w:h="16834" w:code="9"/>
          <w:pgMar w:top="864" w:right="1800" w:bottom="1440" w:left="1800" w:header="1008" w:footer="432" w:gutter="0"/>
          <w:cols w:space="720"/>
          <w:titlePg/>
          <w:docGrid w:linePitch="360"/>
        </w:sectPr>
      </w:pPr>
    </w:p>
    <w:p w14:paraId="38605F61" w14:textId="77777777" w:rsidR="00A71F05" w:rsidRDefault="00A71F05" w:rsidP="00A6606C">
      <w:pPr>
        <w:pStyle w:val="Heading2"/>
      </w:pPr>
      <w:r>
        <w:t>Section 2 – Report</w:t>
      </w:r>
    </w:p>
    <w:p w14:paraId="2EB6757D" w14:textId="77777777" w:rsidR="00A71F05" w:rsidRPr="009543E2" w:rsidRDefault="00A71F05" w:rsidP="00192F10">
      <w:pPr>
        <w:pStyle w:val="Heading3"/>
      </w:pPr>
      <w:r w:rsidRPr="009543E2">
        <w:t>Introductory paragraph</w:t>
      </w:r>
    </w:p>
    <w:p w14:paraId="5A80FA0D" w14:textId="1BEF7002" w:rsidR="00E6763F" w:rsidRDefault="00E6763F" w:rsidP="00E6763F">
      <w:pPr>
        <w:rPr>
          <w:rFonts w:cs="Arial"/>
          <w:sz w:val="28"/>
          <w:szCs w:val="28"/>
        </w:rPr>
      </w:pPr>
      <w:r w:rsidRPr="009543E2">
        <w:rPr>
          <w:rFonts w:cs="Arial"/>
          <w:sz w:val="28"/>
          <w:szCs w:val="28"/>
        </w:rPr>
        <w:t xml:space="preserve">Between May and July 2022, the public and stakeholders were consulted on the proposed expansion of ULEZ to the whole of Greater London, eliciting a significant number of responses. </w:t>
      </w:r>
    </w:p>
    <w:p w14:paraId="4BA8BA04" w14:textId="77777777" w:rsidR="00A904B7" w:rsidRPr="009543E2" w:rsidRDefault="00A904B7" w:rsidP="00E6763F">
      <w:pPr>
        <w:rPr>
          <w:rFonts w:cs="Arial"/>
          <w:sz w:val="28"/>
          <w:szCs w:val="28"/>
        </w:rPr>
      </w:pPr>
    </w:p>
    <w:p w14:paraId="2105A6E2" w14:textId="635AA79B" w:rsidR="00E6763F" w:rsidRPr="009543E2" w:rsidRDefault="00711AF8" w:rsidP="00E6763F">
      <w:pPr>
        <w:rPr>
          <w:rFonts w:cs="Arial"/>
          <w:sz w:val="28"/>
          <w:szCs w:val="28"/>
        </w:rPr>
      </w:pPr>
      <w:r>
        <w:rPr>
          <w:rFonts w:cs="Arial"/>
          <w:sz w:val="28"/>
          <w:szCs w:val="28"/>
        </w:rPr>
        <w:t xml:space="preserve">The London Boroughs of </w:t>
      </w:r>
      <w:r w:rsidR="00E6763F" w:rsidRPr="009543E2">
        <w:rPr>
          <w:rFonts w:cs="Arial"/>
          <w:sz w:val="28"/>
          <w:szCs w:val="28"/>
        </w:rPr>
        <w:t>Harrow, Hillingdon, Bexley and Bromley all responded to the consultation, objecting to the proposal on the grounds that:</w:t>
      </w:r>
    </w:p>
    <w:p w14:paraId="70DFDDA0" w14:textId="77777777" w:rsidR="00E6763F" w:rsidRPr="009543E2" w:rsidRDefault="00E6763F" w:rsidP="00E6763F">
      <w:pPr>
        <w:pStyle w:val="ListParagraph"/>
        <w:numPr>
          <w:ilvl w:val="0"/>
          <w:numId w:val="36"/>
        </w:numPr>
        <w:spacing w:after="160" w:line="259" w:lineRule="auto"/>
        <w:contextualSpacing/>
        <w:rPr>
          <w:rFonts w:cs="Arial"/>
          <w:sz w:val="28"/>
          <w:szCs w:val="28"/>
        </w:rPr>
      </w:pPr>
      <w:r w:rsidRPr="009543E2">
        <w:rPr>
          <w:rFonts w:cs="Arial"/>
          <w:sz w:val="28"/>
          <w:szCs w:val="28"/>
        </w:rPr>
        <w:lastRenderedPageBreak/>
        <w:t>the data provided in the consultation was confusing and inconsistent;</w:t>
      </w:r>
    </w:p>
    <w:p w14:paraId="574645CD" w14:textId="77777777" w:rsidR="00E6763F" w:rsidRPr="009543E2" w:rsidRDefault="00E6763F" w:rsidP="00E6763F">
      <w:pPr>
        <w:pStyle w:val="ListParagraph"/>
        <w:numPr>
          <w:ilvl w:val="0"/>
          <w:numId w:val="36"/>
        </w:numPr>
        <w:spacing w:after="160" w:line="259" w:lineRule="auto"/>
        <w:contextualSpacing/>
        <w:rPr>
          <w:rFonts w:cs="Arial"/>
          <w:sz w:val="28"/>
          <w:szCs w:val="28"/>
        </w:rPr>
      </w:pPr>
      <w:r w:rsidRPr="009543E2">
        <w:rPr>
          <w:rFonts w:cs="Arial"/>
          <w:sz w:val="28"/>
          <w:szCs w:val="28"/>
        </w:rPr>
        <w:t>the details of the proposed scrappage scheme were not disclosed, but appeared to offer no benefit to residents outside London;</w:t>
      </w:r>
    </w:p>
    <w:p w14:paraId="3DF09AEC" w14:textId="77777777" w:rsidR="00E6763F" w:rsidRPr="009543E2" w:rsidRDefault="00E6763F" w:rsidP="00E6763F">
      <w:pPr>
        <w:pStyle w:val="ListParagraph"/>
        <w:numPr>
          <w:ilvl w:val="0"/>
          <w:numId w:val="36"/>
        </w:numPr>
        <w:spacing w:after="160" w:line="259" w:lineRule="auto"/>
        <w:contextualSpacing/>
        <w:rPr>
          <w:rFonts w:cs="Arial"/>
          <w:sz w:val="28"/>
          <w:szCs w:val="28"/>
        </w:rPr>
      </w:pPr>
      <w:r w:rsidRPr="009543E2">
        <w:rPr>
          <w:rFonts w:cs="Arial"/>
          <w:sz w:val="28"/>
          <w:szCs w:val="28"/>
        </w:rPr>
        <w:t>no overall costs of implementing the scheme were given, nor any monetised social or economic benefits</w:t>
      </w:r>
    </w:p>
    <w:p w14:paraId="52741438" w14:textId="77777777" w:rsidR="00E6763F" w:rsidRPr="009543E2" w:rsidRDefault="00E6763F" w:rsidP="00E6763F">
      <w:pPr>
        <w:pStyle w:val="ListParagraph"/>
        <w:numPr>
          <w:ilvl w:val="0"/>
          <w:numId w:val="36"/>
        </w:numPr>
        <w:spacing w:after="160" w:line="259" w:lineRule="auto"/>
        <w:contextualSpacing/>
        <w:rPr>
          <w:rFonts w:cs="Arial"/>
          <w:sz w:val="28"/>
          <w:szCs w:val="28"/>
        </w:rPr>
      </w:pPr>
      <w:r w:rsidRPr="009543E2">
        <w:rPr>
          <w:rFonts w:cs="Arial"/>
          <w:sz w:val="28"/>
          <w:szCs w:val="28"/>
        </w:rPr>
        <w:t>there was no specific assessment of the impact on individual boroughs; and</w:t>
      </w:r>
    </w:p>
    <w:p w14:paraId="4A3882EF" w14:textId="77777777" w:rsidR="00E6763F" w:rsidRPr="009543E2" w:rsidRDefault="00E6763F" w:rsidP="00E6763F">
      <w:pPr>
        <w:pStyle w:val="ListParagraph"/>
        <w:numPr>
          <w:ilvl w:val="0"/>
          <w:numId w:val="36"/>
        </w:numPr>
        <w:spacing w:after="160" w:line="259" w:lineRule="auto"/>
        <w:contextualSpacing/>
        <w:rPr>
          <w:rFonts w:cs="Arial"/>
          <w:sz w:val="28"/>
          <w:szCs w:val="28"/>
        </w:rPr>
      </w:pPr>
      <w:r w:rsidRPr="009543E2">
        <w:rPr>
          <w:rFonts w:cs="Arial"/>
          <w:sz w:val="28"/>
          <w:szCs w:val="28"/>
        </w:rPr>
        <w:t>there was no clarity about where revenues for the scheme would be spent.</w:t>
      </w:r>
    </w:p>
    <w:p w14:paraId="7503D573" w14:textId="0A29443D" w:rsidR="00E6763F" w:rsidRPr="009543E2" w:rsidRDefault="00A663BE" w:rsidP="00E6763F">
      <w:pPr>
        <w:rPr>
          <w:rFonts w:cs="Arial"/>
          <w:sz w:val="28"/>
          <w:szCs w:val="28"/>
        </w:rPr>
      </w:pPr>
      <w:r>
        <w:rPr>
          <w:rFonts w:cs="Arial"/>
          <w:sz w:val="28"/>
          <w:szCs w:val="28"/>
        </w:rPr>
        <w:t>A</w:t>
      </w:r>
      <w:r w:rsidR="00E6763F" w:rsidRPr="009543E2">
        <w:rPr>
          <w:rFonts w:cs="Arial"/>
          <w:sz w:val="28"/>
          <w:szCs w:val="28"/>
        </w:rPr>
        <w:t xml:space="preserve"> long report </w:t>
      </w:r>
      <w:r>
        <w:rPr>
          <w:rFonts w:cs="Arial"/>
          <w:sz w:val="28"/>
          <w:szCs w:val="28"/>
        </w:rPr>
        <w:t xml:space="preserve">was produced </w:t>
      </w:r>
      <w:r w:rsidR="00E6763F" w:rsidRPr="009543E2">
        <w:rPr>
          <w:rFonts w:cs="Arial"/>
          <w:sz w:val="28"/>
          <w:szCs w:val="28"/>
        </w:rPr>
        <w:t>seeking to summarise all consultation responses and making overall conclusions and recommendations to the Mayor.</w:t>
      </w:r>
    </w:p>
    <w:p w14:paraId="027EE8D4" w14:textId="77777777" w:rsidR="00677CA8" w:rsidRDefault="00677CA8" w:rsidP="00E6763F">
      <w:pPr>
        <w:rPr>
          <w:rFonts w:cs="Arial"/>
          <w:sz w:val="28"/>
          <w:szCs w:val="28"/>
        </w:rPr>
      </w:pPr>
    </w:p>
    <w:p w14:paraId="2F2099AF" w14:textId="6C2B8604" w:rsidR="00E6763F" w:rsidRDefault="00E6763F" w:rsidP="00E6763F">
      <w:pPr>
        <w:rPr>
          <w:rFonts w:cs="Arial"/>
          <w:sz w:val="28"/>
          <w:szCs w:val="28"/>
        </w:rPr>
      </w:pPr>
      <w:r w:rsidRPr="009543E2">
        <w:rPr>
          <w:rFonts w:cs="Arial"/>
          <w:sz w:val="28"/>
          <w:szCs w:val="28"/>
        </w:rPr>
        <w:t>In November 2022 the Mayor decided to extend ULEZ to the whole of Greater London.</w:t>
      </w:r>
    </w:p>
    <w:p w14:paraId="5CC12796" w14:textId="79188120" w:rsidR="00A663BE" w:rsidRDefault="00A663BE" w:rsidP="00E6763F">
      <w:pPr>
        <w:rPr>
          <w:rFonts w:cs="Arial"/>
          <w:sz w:val="28"/>
          <w:szCs w:val="28"/>
        </w:rPr>
      </w:pPr>
    </w:p>
    <w:p w14:paraId="3C1EAE73" w14:textId="19777BE5" w:rsidR="00A663BE" w:rsidRPr="009543E2" w:rsidRDefault="00A663BE" w:rsidP="00E6763F">
      <w:pPr>
        <w:rPr>
          <w:rFonts w:cs="Arial"/>
          <w:sz w:val="28"/>
          <w:szCs w:val="28"/>
        </w:rPr>
      </w:pPr>
      <w:r>
        <w:rPr>
          <w:rFonts w:cs="Arial"/>
          <w:sz w:val="28"/>
          <w:szCs w:val="28"/>
        </w:rPr>
        <w:t xml:space="preserve">There is concern in Harrow about the impact of the new charges on its Residents and Businesses, which has </w:t>
      </w:r>
      <w:proofErr w:type="spellStart"/>
      <w:r>
        <w:rPr>
          <w:rFonts w:cs="Arial"/>
          <w:sz w:val="28"/>
          <w:szCs w:val="28"/>
        </w:rPr>
        <w:t>lead</w:t>
      </w:r>
      <w:proofErr w:type="spellEnd"/>
      <w:r>
        <w:rPr>
          <w:rFonts w:cs="Arial"/>
          <w:sz w:val="28"/>
          <w:szCs w:val="28"/>
        </w:rPr>
        <w:t xml:space="preserve"> to exploring ways of stopping it or mitigating its impact. </w:t>
      </w:r>
    </w:p>
    <w:p w14:paraId="2D777F5A" w14:textId="77777777" w:rsidR="003D2FFF" w:rsidRPr="009543E2" w:rsidRDefault="00A71F05" w:rsidP="00192F10">
      <w:pPr>
        <w:pStyle w:val="Heading3"/>
        <w:rPr>
          <w:color w:val="FF0000"/>
        </w:rPr>
      </w:pPr>
      <w:r w:rsidRPr="009543E2">
        <w:t>Options considered</w:t>
      </w:r>
      <w:r w:rsidRPr="009543E2">
        <w:rPr>
          <w:color w:val="FF0000"/>
        </w:rPr>
        <w:t xml:space="preserve"> </w:t>
      </w:r>
    </w:p>
    <w:p w14:paraId="042A15AC" w14:textId="59F1132A" w:rsidR="00C43188" w:rsidRDefault="00C43188" w:rsidP="00A6606C">
      <w:pPr>
        <w:rPr>
          <w:rFonts w:cs="Arial"/>
          <w:sz w:val="28"/>
          <w:szCs w:val="28"/>
        </w:rPr>
      </w:pPr>
      <w:r>
        <w:rPr>
          <w:rFonts w:cs="Arial"/>
          <w:sz w:val="28"/>
          <w:szCs w:val="28"/>
        </w:rPr>
        <w:t xml:space="preserve">The first option is to do nothing, whereupon if there is no </w:t>
      </w:r>
      <w:r w:rsidR="00272F91">
        <w:rPr>
          <w:rFonts w:cs="Arial"/>
          <w:sz w:val="28"/>
          <w:szCs w:val="28"/>
        </w:rPr>
        <w:t xml:space="preserve">successful </w:t>
      </w:r>
      <w:r>
        <w:rPr>
          <w:rFonts w:cs="Arial"/>
          <w:sz w:val="28"/>
          <w:szCs w:val="28"/>
        </w:rPr>
        <w:t>challenge to the decision</w:t>
      </w:r>
      <w:r w:rsidR="00272F91">
        <w:rPr>
          <w:rFonts w:cs="Arial"/>
          <w:sz w:val="28"/>
          <w:szCs w:val="28"/>
        </w:rPr>
        <w:t xml:space="preserve"> by another stakeholder</w:t>
      </w:r>
      <w:r>
        <w:rPr>
          <w:rFonts w:cs="Arial"/>
          <w:sz w:val="28"/>
          <w:szCs w:val="28"/>
        </w:rPr>
        <w:t>, the ULEZ will apply in Harrow from 29</w:t>
      </w:r>
      <w:r w:rsidRPr="00C43188">
        <w:rPr>
          <w:rFonts w:cs="Arial"/>
          <w:sz w:val="28"/>
          <w:szCs w:val="28"/>
          <w:vertAlign w:val="superscript"/>
        </w:rPr>
        <w:t>th</w:t>
      </w:r>
      <w:r>
        <w:rPr>
          <w:rFonts w:cs="Arial"/>
          <w:sz w:val="28"/>
          <w:szCs w:val="28"/>
        </w:rPr>
        <w:t xml:space="preserve"> August this year.</w:t>
      </w:r>
    </w:p>
    <w:p w14:paraId="2F26071E" w14:textId="77777777" w:rsidR="00C43188" w:rsidRDefault="00C43188" w:rsidP="00A6606C">
      <w:pPr>
        <w:rPr>
          <w:rFonts w:cs="Arial"/>
          <w:sz w:val="28"/>
          <w:szCs w:val="28"/>
        </w:rPr>
      </w:pPr>
    </w:p>
    <w:p w14:paraId="0CF98A4B" w14:textId="46CBC136" w:rsidR="00C43188" w:rsidRDefault="00C43188" w:rsidP="00A6606C">
      <w:pPr>
        <w:rPr>
          <w:rFonts w:cs="Arial"/>
          <w:sz w:val="28"/>
          <w:szCs w:val="28"/>
        </w:rPr>
      </w:pPr>
      <w:r>
        <w:rPr>
          <w:rFonts w:cs="Arial"/>
          <w:sz w:val="28"/>
          <w:szCs w:val="28"/>
        </w:rPr>
        <w:t>The second option is for Harrow to challenge the expansion decision alone, whereupon it will bear the risks and costs of litigation (set out in following paragraphs) alone</w:t>
      </w:r>
      <w:r w:rsidR="00D16646">
        <w:rPr>
          <w:rFonts w:cs="Arial"/>
          <w:sz w:val="28"/>
          <w:szCs w:val="28"/>
        </w:rPr>
        <w:t>.</w:t>
      </w:r>
    </w:p>
    <w:p w14:paraId="1AF09FBB" w14:textId="1C2C912B" w:rsidR="00C43188" w:rsidRDefault="00C43188" w:rsidP="00A6606C">
      <w:pPr>
        <w:rPr>
          <w:rFonts w:cs="Arial"/>
          <w:sz w:val="28"/>
          <w:szCs w:val="28"/>
        </w:rPr>
      </w:pPr>
    </w:p>
    <w:p w14:paraId="25C34A0A" w14:textId="1D031321" w:rsidR="00C43188" w:rsidRDefault="00C43188" w:rsidP="00A6606C">
      <w:pPr>
        <w:rPr>
          <w:rFonts w:cs="Arial"/>
          <w:sz w:val="28"/>
          <w:szCs w:val="28"/>
        </w:rPr>
      </w:pPr>
      <w:r>
        <w:rPr>
          <w:rFonts w:cs="Arial"/>
          <w:sz w:val="28"/>
          <w:szCs w:val="28"/>
        </w:rPr>
        <w:t xml:space="preserve">The third and preferred option if Harrow is to mount a challenge is to do so jointly with other affected Boroughs.  Bringing proceedings jointly does not materially increase costs but allows legal costs to be shared among the </w:t>
      </w:r>
      <w:r w:rsidR="00CF6B30">
        <w:rPr>
          <w:rFonts w:cs="Arial"/>
          <w:sz w:val="28"/>
          <w:szCs w:val="28"/>
        </w:rPr>
        <w:t>B</w:t>
      </w:r>
      <w:r>
        <w:rPr>
          <w:rFonts w:cs="Arial"/>
          <w:sz w:val="28"/>
          <w:szCs w:val="28"/>
        </w:rPr>
        <w:t>oroughs bringing the challenge.</w:t>
      </w:r>
    </w:p>
    <w:p w14:paraId="15D6986E" w14:textId="77777777" w:rsidR="00C43188" w:rsidRDefault="00C43188" w:rsidP="00A6606C">
      <w:pPr>
        <w:rPr>
          <w:rFonts w:cs="Arial"/>
          <w:sz w:val="28"/>
          <w:szCs w:val="28"/>
        </w:rPr>
      </w:pPr>
    </w:p>
    <w:p w14:paraId="04048862" w14:textId="14281FEF" w:rsidR="003D2FFF" w:rsidRDefault="00B1364E" w:rsidP="00A6606C">
      <w:pPr>
        <w:rPr>
          <w:rFonts w:cs="Arial"/>
          <w:sz w:val="28"/>
          <w:szCs w:val="28"/>
        </w:rPr>
      </w:pPr>
      <w:r w:rsidRPr="009543E2">
        <w:rPr>
          <w:rFonts w:cs="Arial"/>
          <w:sz w:val="28"/>
          <w:szCs w:val="28"/>
        </w:rPr>
        <w:t xml:space="preserve">If the Council is to challenge the decision to expand the ULEZ to </w:t>
      </w:r>
      <w:r w:rsidR="00677CA8">
        <w:rPr>
          <w:rFonts w:cs="Arial"/>
          <w:sz w:val="28"/>
          <w:szCs w:val="28"/>
        </w:rPr>
        <w:t xml:space="preserve">Harrow </w:t>
      </w:r>
      <w:r w:rsidRPr="009543E2">
        <w:rPr>
          <w:rFonts w:cs="Arial"/>
          <w:sz w:val="28"/>
          <w:szCs w:val="28"/>
        </w:rPr>
        <w:t xml:space="preserve">it must do so </w:t>
      </w:r>
      <w:r w:rsidR="00364B41">
        <w:rPr>
          <w:rFonts w:cs="Arial"/>
          <w:sz w:val="28"/>
          <w:szCs w:val="28"/>
        </w:rPr>
        <w:t>by 24</w:t>
      </w:r>
      <w:r w:rsidR="00364B41" w:rsidRPr="00364B41">
        <w:rPr>
          <w:rFonts w:cs="Arial"/>
          <w:sz w:val="28"/>
          <w:szCs w:val="28"/>
          <w:vertAlign w:val="superscript"/>
        </w:rPr>
        <w:t>th</w:t>
      </w:r>
      <w:r w:rsidR="00364B41">
        <w:rPr>
          <w:rFonts w:cs="Arial"/>
          <w:sz w:val="28"/>
          <w:szCs w:val="28"/>
        </w:rPr>
        <w:t xml:space="preserve"> February</w:t>
      </w:r>
      <w:r w:rsidRPr="009543E2">
        <w:rPr>
          <w:rFonts w:cs="Arial"/>
          <w:sz w:val="28"/>
          <w:szCs w:val="28"/>
        </w:rPr>
        <w:t>.</w:t>
      </w:r>
    </w:p>
    <w:p w14:paraId="625DD22A" w14:textId="445473E4" w:rsidR="00CB760D" w:rsidRDefault="00CB760D" w:rsidP="00A6606C">
      <w:pPr>
        <w:rPr>
          <w:rFonts w:cs="Arial"/>
          <w:sz w:val="28"/>
          <w:szCs w:val="28"/>
        </w:rPr>
      </w:pPr>
    </w:p>
    <w:p w14:paraId="76EEDB79" w14:textId="77777777" w:rsidR="00CB760D" w:rsidRPr="009543E2" w:rsidRDefault="00CB760D" w:rsidP="00A6606C">
      <w:pPr>
        <w:rPr>
          <w:rFonts w:cs="Arial"/>
          <w:sz w:val="28"/>
          <w:szCs w:val="28"/>
        </w:rPr>
      </w:pPr>
    </w:p>
    <w:p w14:paraId="71F27CF9" w14:textId="7EB14FEB" w:rsidR="00B1364E" w:rsidRPr="009543E2" w:rsidRDefault="00B1364E" w:rsidP="00A6606C">
      <w:pPr>
        <w:rPr>
          <w:rFonts w:cs="Arial"/>
          <w:sz w:val="28"/>
          <w:szCs w:val="28"/>
        </w:rPr>
      </w:pPr>
    </w:p>
    <w:p w14:paraId="4F17E731" w14:textId="37F1CF21" w:rsidR="00A71F05" w:rsidRPr="009543E2" w:rsidRDefault="00A71F05" w:rsidP="00192F10">
      <w:pPr>
        <w:spacing w:after="240"/>
        <w:rPr>
          <w:rFonts w:cs="Arial"/>
          <w:b/>
          <w:sz w:val="28"/>
          <w:szCs w:val="28"/>
        </w:rPr>
      </w:pPr>
      <w:r w:rsidRPr="009543E2">
        <w:rPr>
          <w:rFonts w:cs="Arial"/>
          <w:b/>
          <w:sz w:val="28"/>
          <w:szCs w:val="28"/>
        </w:rPr>
        <w:lastRenderedPageBreak/>
        <w:t>Current situation</w:t>
      </w:r>
    </w:p>
    <w:p w14:paraId="75D8FAB0" w14:textId="77777777" w:rsidR="00271188" w:rsidRPr="003701F1" w:rsidRDefault="00271188" w:rsidP="00271188">
      <w:pPr>
        <w:rPr>
          <w:rFonts w:cs="Arial"/>
          <w:b/>
          <w:bCs/>
          <w:sz w:val="28"/>
          <w:szCs w:val="28"/>
        </w:rPr>
      </w:pPr>
      <w:r w:rsidRPr="003701F1">
        <w:rPr>
          <w:rFonts w:cs="Arial"/>
          <w:b/>
          <w:bCs/>
          <w:sz w:val="28"/>
          <w:szCs w:val="28"/>
        </w:rPr>
        <w:t>Judicial Review</w:t>
      </w:r>
    </w:p>
    <w:p w14:paraId="20162EB2" w14:textId="6A3021A3" w:rsidR="00271188" w:rsidRPr="008429ED" w:rsidRDefault="00271188" w:rsidP="00271188">
      <w:pPr>
        <w:rPr>
          <w:rFonts w:cs="Arial"/>
          <w:sz w:val="28"/>
          <w:szCs w:val="28"/>
        </w:rPr>
      </w:pPr>
      <w:r w:rsidRPr="008429ED">
        <w:rPr>
          <w:rFonts w:cs="Arial"/>
          <w:sz w:val="28"/>
          <w:szCs w:val="28"/>
        </w:rPr>
        <w:t>Before a decision such as the one above may be challenged in the High Court, the claimant is required to explain their grounds of claim to the decision maker and give them the opportunity to respond in what is known as a Pre Action Protocol (‘PAP’) letter, with the aim of avoiding court cases and/or reducing the area of dispute where possible.</w:t>
      </w:r>
    </w:p>
    <w:p w14:paraId="5387671F" w14:textId="77777777" w:rsidR="00271188" w:rsidRPr="008429ED" w:rsidRDefault="00271188" w:rsidP="00271188">
      <w:pPr>
        <w:rPr>
          <w:rFonts w:cs="Arial"/>
          <w:sz w:val="28"/>
          <w:szCs w:val="28"/>
        </w:rPr>
      </w:pPr>
    </w:p>
    <w:p w14:paraId="0E0A26C7" w14:textId="32D5687B" w:rsidR="00271188" w:rsidRPr="008429ED" w:rsidRDefault="00271188" w:rsidP="00271188">
      <w:pPr>
        <w:rPr>
          <w:rFonts w:cs="Arial"/>
          <w:sz w:val="28"/>
          <w:szCs w:val="28"/>
        </w:rPr>
      </w:pPr>
      <w:r w:rsidRPr="008429ED">
        <w:rPr>
          <w:rFonts w:cs="Arial"/>
          <w:sz w:val="28"/>
          <w:szCs w:val="28"/>
        </w:rPr>
        <w:t>Having taken Leading Counsel’s advice on the above, Harrow, Hillingdon, Bexley and Bromley submitted joint PAP letters to the London Mayor and Transport for London on 12</w:t>
      </w:r>
      <w:r w:rsidRPr="008429ED">
        <w:rPr>
          <w:rFonts w:cs="Arial"/>
          <w:sz w:val="28"/>
          <w:szCs w:val="28"/>
          <w:vertAlign w:val="superscript"/>
        </w:rPr>
        <w:t>th</w:t>
      </w:r>
      <w:r w:rsidRPr="008429ED">
        <w:rPr>
          <w:rFonts w:cs="Arial"/>
          <w:sz w:val="28"/>
          <w:szCs w:val="28"/>
        </w:rPr>
        <w:t xml:space="preserve"> January 2023.  The recipients were invited to respond by 27</w:t>
      </w:r>
      <w:r w:rsidRPr="008429ED">
        <w:rPr>
          <w:rFonts w:cs="Arial"/>
          <w:sz w:val="28"/>
          <w:szCs w:val="28"/>
          <w:vertAlign w:val="superscript"/>
        </w:rPr>
        <w:t>th</w:t>
      </w:r>
      <w:r w:rsidRPr="008429ED">
        <w:rPr>
          <w:rFonts w:cs="Arial"/>
          <w:sz w:val="28"/>
          <w:szCs w:val="28"/>
        </w:rPr>
        <w:t xml:space="preserve"> January.</w:t>
      </w:r>
    </w:p>
    <w:p w14:paraId="40160582" w14:textId="77777777" w:rsidR="00B437FD" w:rsidRPr="008429ED" w:rsidRDefault="00B437FD" w:rsidP="00271188">
      <w:pPr>
        <w:rPr>
          <w:rFonts w:cs="Arial"/>
          <w:sz w:val="28"/>
          <w:szCs w:val="28"/>
        </w:rPr>
      </w:pPr>
    </w:p>
    <w:p w14:paraId="367E580A" w14:textId="77777777" w:rsidR="00271188" w:rsidRPr="008429ED" w:rsidRDefault="00271188" w:rsidP="00271188">
      <w:pPr>
        <w:rPr>
          <w:rFonts w:cs="Arial"/>
          <w:sz w:val="28"/>
          <w:szCs w:val="28"/>
        </w:rPr>
      </w:pPr>
      <w:r w:rsidRPr="008429ED">
        <w:rPr>
          <w:rFonts w:cs="Arial"/>
          <w:sz w:val="28"/>
          <w:szCs w:val="28"/>
        </w:rPr>
        <w:t>The PAP letter is at Appendix 1, and the responses at Appendix 2.</w:t>
      </w:r>
    </w:p>
    <w:p w14:paraId="280456DE" w14:textId="77777777" w:rsidR="00271188" w:rsidRPr="008429ED" w:rsidRDefault="00271188" w:rsidP="00271188">
      <w:pPr>
        <w:rPr>
          <w:rFonts w:cs="Arial"/>
          <w:sz w:val="28"/>
          <w:szCs w:val="28"/>
        </w:rPr>
      </w:pPr>
    </w:p>
    <w:p w14:paraId="49855751" w14:textId="77777777" w:rsidR="00271188" w:rsidRPr="008429ED" w:rsidRDefault="00271188" w:rsidP="00271188">
      <w:pPr>
        <w:rPr>
          <w:rFonts w:cs="Arial"/>
          <w:b/>
          <w:bCs/>
          <w:sz w:val="28"/>
          <w:szCs w:val="28"/>
        </w:rPr>
      </w:pPr>
      <w:r w:rsidRPr="008429ED">
        <w:rPr>
          <w:rFonts w:cs="Arial"/>
          <w:b/>
          <w:bCs/>
          <w:sz w:val="28"/>
          <w:szCs w:val="28"/>
        </w:rPr>
        <w:t>Grounds of Challenge</w:t>
      </w:r>
    </w:p>
    <w:p w14:paraId="1B73A202" w14:textId="77777777" w:rsidR="00271188" w:rsidRPr="008429ED" w:rsidRDefault="00271188" w:rsidP="00271188">
      <w:pPr>
        <w:rPr>
          <w:rFonts w:cs="Arial"/>
          <w:sz w:val="28"/>
          <w:szCs w:val="28"/>
        </w:rPr>
      </w:pPr>
      <w:r w:rsidRPr="008429ED">
        <w:rPr>
          <w:rFonts w:cs="Arial"/>
          <w:sz w:val="28"/>
          <w:szCs w:val="28"/>
        </w:rPr>
        <w:t>The possible grounds of challenge are set out in the PAP letter, but in summary are as follows:</w:t>
      </w:r>
    </w:p>
    <w:p w14:paraId="3E1AE990" w14:textId="77777777" w:rsidR="00271188" w:rsidRPr="008429ED" w:rsidRDefault="00271188" w:rsidP="00271188">
      <w:pPr>
        <w:pStyle w:val="ListParagraph"/>
        <w:numPr>
          <w:ilvl w:val="0"/>
          <w:numId w:val="37"/>
        </w:numPr>
        <w:spacing w:after="160" w:line="259" w:lineRule="auto"/>
        <w:contextualSpacing/>
        <w:rPr>
          <w:rFonts w:cs="Arial"/>
          <w:sz w:val="28"/>
          <w:szCs w:val="28"/>
        </w:rPr>
      </w:pPr>
      <w:r w:rsidRPr="008429ED">
        <w:rPr>
          <w:rFonts w:cs="Arial"/>
          <w:sz w:val="28"/>
          <w:szCs w:val="28"/>
        </w:rPr>
        <w:t>It is unlawful for the extension to be introduced by way of a variation order, and without an explanation of where the net proceeds of the scheme would be applied</w:t>
      </w:r>
    </w:p>
    <w:p w14:paraId="297F140D" w14:textId="77777777" w:rsidR="00271188" w:rsidRPr="008429ED" w:rsidRDefault="00271188" w:rsidP="00271188">
      <w:pPr>
        <w:pStyle w:val="ListParagraph"/>
        <w:numPr>
          <w:ilvl w:val="0"/>
          <w:numId w:val="37"/>
        </w:numPr>
        <w:spacing w:after="160" w:line="259" w:lineRule="auto"/>
        <w:contextualSpacing/>
        <w:rPr>
          <w:rFonts w:cs="Arial"/>
          <w:sz w:val="28"/>
          <w:szCs w:val="28"/>
        </w:rPr>
      </w:pPr>
      <w:r w:rsidRPr="008429ED">
        <w:rPr>
          <w:rFonts w:cs="Arial"/>
          <w:sz w:val="28"/>
          <w:szCs w:val="28"/>
        </w:rPr>
        <w:t xml:space="preserve">The Mayor relied on incorrect assumptions for expected compliance rates in outer London </w:t>
      </w:r>
    </w:p>
    <w:p w14:paraId="0B310F4B" w14:textId="77777777" w:rsidR="00271188" w:rsidRPr="008429ED" w:rsidRDefault="00271188" w:rsidP="00271188">
      <w:pPr>
        <w:pStyle w:val="ListParagraph"/>
        <w:numPr>
          <w:ilvl w:val="0"/>
          <w:numId w:val="37"/>
        </w:numPr>
        <w:spacing w:after="160" w:line="259" w:lineRule="auto"/>
        <w:contextualSpacing/>
        <w:rPr>
          <w:rFonts w:cs="Arial"/>
          <w:sz w:val="28"/>
          <w:szCs w:val="28"/>
        </w:rPr>
      </w:pPr>
      <w:r w:rsidRPr="008429ED">
        <w:rPr>
          <w:rFonts w:cs="Arial"/>
          <w:sz w:val="28"/>
          <w:szCs w:val="28"/>
        </w:rPr>
        <w:t>The Mayor failed to consider the potential for inclusion of non-Londoners in the proposed scrappage scheme</w:t>
      </w:r>
    </w:p>
    <w:p w14:paraId="7424582E" w14:textId="77777777" w:rsidR="00271188" w:rsidRPr="008429ED" w:rsidRDefault="00271188" w:rsidP="00271188">
      <w:pPr>
        <w:pStyle w:val="ListParagraph"/>
        <w:numPr>
          <w:ilvl w:val="0"/>
          <w:numId w:val="37"/>
        </w:numPr>
        <w:spacing w:after="160" w:line="259" w:lineRule="auto"/>
        <w:contextualSpacing/>
        <w:rPr>
          <w:rFonts w:cs="Arial"/>
          <w:sz w:val="28"/>
          <w:szCs w:val="28"/>
        </w:rPr>
      </w:pPr>
      <w:r w:rsidRPr="008429ED">
        <w:rPr>
          <w:rFonts w:cs="Arial"/>
          <w:sz w:val="28"/>
          <w:szCs w:val="28"/>
        </w:rPr>
        <w:t xml:space="preserve">The Mayor failed to carry out any cost benefit analysis or have regard to the Green Book methodology         </w:t>
      </w:r>
    </w:p>
    <w:p w14:paraId="07951FA6" w14:textId="6C891572" w:rsidR="00E03B7E" w:rsidRDefault="00E03B7E" w:rsidP="00271188">
      <w:pPr>
        <w:rPr>
          <w:rFonts w:cs="Arial"/>
          <w:b/>
          <w:bCs/>
          <w:sz w:val="28"/>
          <w:szCs w:val="28"/>
        </w:rPr>
      </w:pPr>
      <w:r>
        <w:rPr>
          <w:rFonts w:cs="Arial"/>
          <w:b/>
          <w:bCs/>
          <w:sz w:val="28"/>
          <w:szCs w:val="28"/>
        </w:rPr>
        <w:t xml:space="preserve">Response to the Grounds </w:t>
      </w:r>
    </w:p>
    <w:p w14:paraId="2B6197C6" w14:textId="77777777" w:rsidR="00032828" w:rsidRDefault="00044C82" w:rsidP="00271188">
      <w:pPr>
        <w:rPr>
          <w:rFonts w:cs="Arial"/>
          <w:sz w:val="28"/>
          <w:szCs w:val="28"/>
        </w:rPr>
      </w:pPr>
      <w:r>
        <w:rPr>
          <w:rFonts w:cs="Arial"/>
          <w:sz w:val="28"/>
          <w:szCs w:val="28"/>
        </w:rPr>
        <w:t xml:space="preserve">TfL </w:t>
      </w:r>
      <w:r w:rsidR="00032828">
        <w:rPr>
          <w:rFonts w:cs="Arial"/>
          <w:sz w:val="28"/>
          <w:szCs w:val="28"/>
        </w:rPr>
        <w:t xml:space="preserve">have responded to the above as follows: </w:t>
      </w:r>
    </w:p>
    <w:p w14:paraId="44CF5724" w14:textId="21D6490A" w:rsidR="00032828" w:rsidRPr="00F34442" w:rsidRDefault="00032828" w:rsidP="00F34442">
      <w:pPr>
        <w:pStyle w:val="ListParagraph"/>
        <w:numPr>
          <w:ilvl w:val="0"/>
          <w:numId w:val="39"/>
        </w:numPr>
        <w:rPr>
          <w:rFonts w:cs="Arial"/>
          <w:sz w:val="28"/>
          <w:szCs w:val="28"/>
        </w:rPr>
      </w:pPr>
      <w:r w:rsidRPr="00F34442">
        <w:rPr>
          <w:rFonts w:cs="Arial"/>
          <w:sz w:val="28"/>
          <w:szCs w:val="28"/>
        </w:rPr>
        <w:t>T</w:t>
      </w:r>
      <w:r w:rsidR="00825674" w:rsidRPr="00F34442">
        <w:rPr>
          <w:rFonts w:cs="Arial"/>
          <w:sz w:val="28"/>
          <w:szCs w:val="28"/>
        </w:rPr>
        <w:t>he extension can be lawfully introduced by variation order</w:t>
      </w:r>
      <w:r w:rsidRPr="00F34442">
        <w:rPr>
          <w:rFonts w:cs="Arial"/>
          <w:sz w:val="28"/>
          <w:szCs w:val="28"/>
        </w:rPr>
        <w:t>, and there is no longer a requirement to explain how net proceeds will be applied</w:t>
      </w:r>
    </w:p>
    <w:p w14:paraId="20BD6349" w14:textId="77777777" w:rsidR="00365354" w:rsidRPr="00F34442" w:rsidRDefault="00032828" w:rsidP="00F34442">
      <w:pPr>
        <w:pStyle w:val="ListParagraph"/>
        <w:numPr>
          <w:ilvl w:val="0"/>
          <w:numId w:val="39"/>
        </w:numPr>
        <w:rPr>
          <w:rFonts w:cs="Arial"/>
          <w:sz w:val="28"/>
          <w:szCs w:val="28"/>
        </w:rPr>
      </w:pPr>
      <w:r w:rsidRPr="00F34442">
        <w:rPr>
          <w:rFonts w:cs="Arial"/>
          <w:sz w:val="28"/>
          <w:szCs w:val="28"/>
        </w:rPr>
        <w:t>The Mayor relied upon a forecast based upon Outer London ANPR data</w:t>
      </w:r>
      <w:r w:rsidR="00365354" w:rsidRPr="00F34442">
        <w:rPr>
          <w:rFonts w:cs="Arial"/>
          <w:sz w:val="28"/>
          <w:szCs w:val="28"/>
        </w:rPr>
        <w:t xml:space="preserve"> from May 2022</w:t>
      </w:r>
    </w:p>
    <w:p w14:paraId="1C0A02FD" w14:textId="77777777" w:rsidR="00F34442" w:rsidRPr="00F34442" w:rsidRDefault="00365354" w:rsidP="00F34442">
      <w:pPr>
        <w:pStyle w:val="ListParagraph"/>
        <w:numPr>
          <w:ilvl w:val="0"/>
          <w:numId w:val="39"/>
        </w:numPr>
        <w:rPr>
          <w:rFonts w:cs="Arial"/>
          <w:sz w:val="28"/>
          <w:szCs w:val="28"/>
        </w:rPr>
      </w:pPr>
      <w:r w:rsidRPr="00F34442">
        <w:rPr>
          <w:rFonts w:cs="Arial"/>
          <w:sz w:val="28"/>
          <w:szCs w:val="28"/>
        </w:rPr>
        <w:t>It is TFL, not the Mayor who is responsible for determining the scrappage scheme rules</w:t>
      </w:r>
    </w:p>
    <w:p w14:paraId="4BE6C1B5" w14:textId="7FA98E43" w:rsidR="00F34442" w:rsidRPr="00F34442" w:rsidRDefault="00F34442" w:rsidP="00F34442">
      <w:pPr>
        <w:pStyle w:val="ListParagraph"/>
        <w:numPr>
          <w:ilvl w:val="0"/>
          <w:numId w:val="39"/>
        </w:numPr>
        <w:rPr>
          <w:rFonts w:cs="Arial"/>
          <w:sz w:val="28"/>
          <w:szCs w:val="28"/>
        </w:rPr>
      </w:pPr>
      <w:r w:rsidRPr="00F34442">
        <w:rPr>
          <w:rFonts w:cs="Arial"/>
          <w:sz w:val="28"/>
          <w:szCs w:val="28"/>
        </w:rPr>
        <w:t xml:space="preserve">The scheme considered </w:t>
      </w:r>
      <w:r w:rsidR="00CE0044">
        <w:rPr>
          <w:rFonts w:cs="Arial"/>
          <w:sz w:val="28"/>
          <w:szCs w:val="28"/>
        </w:rPr>
        <w:t xml:space="preserve">environmental </w:t>
      </w:r>
      <w:r w:rsidRPr="00F34442">
        <w:rPr>
          <w:rFonts w:cs="Arial"/>
          <w:sz w:val="28"/>
          <w:szCs w:val="28"/>
        </w:rPr>
        <w:t xml:space="preserve">benefits and detriments, but many of these are difficult to reduce meaningfully to money terms.  The Green Book methodology does not apply to the Mayor or TfL. </w:t>
      </w:r>
    </w:p>
    <w:p w14:paraId="6F57FAC0" w14:textId="77777777" w:rsidR="00032828" w:rsidRPr="00032828" w:rsidRDefault="00032828" w:rsidP="00271188">
      <w:pPr>
        <w:rPr>
          <w:rFonts w:cs="Arial"/>
          <w:sz w:val="28"/>
          <w:szCs w:val="28"/>
        </w:rPr>
      </w:pPr>
    </w:p>
    <w:p w14:paraId="3157D5CC" w14:textId="7EEBD0C8" w:rsidR="00271188" w:rsidRPr="008429ED" w:rsidRDefault="00271188" w:rsidP="00271188">
      <w:pPr>
        <w:rPr>
          <w:rFonts w:cs="Arial"/>
          <w:b/>
          <w:bCs/>
          <w:sz w:val="28"/>
          <w:szCs w:val="28"/>
        </w:rPr>
      </w:pPr>
      <w:r w:rsidRPr="008429ED">
        <w:rPr>
          <w:rFonts w:cs="Arial"/>
          <w:b/>
          <w:bCs/>
          <w:sz w:val="28"/>
          <w:szCs w:val="28"/>
        </w:rPr>
        <w:t>Permission to Bring a Challenge</w:t>
      </w:r>
    </w:p>
    <w:p w14:paraId="11B1BAF8" w14:textId="77777777" w:rsidR="00271188" w:rsidRPr="008429ED" w:rsidRDefault="00271188" w:rsidP="00271188">
      <w:pPr>
        <w:rPr>
          <w:rFonts w:cs="Arial"/>
          <w:sz w:val="28"/>
          <w:szCs w:val="28"/>
        </w:rPr>
      </w:pPr>
      <w:r w:rsidRPr="008429ED">
        <w:rPr>
          <w:rFonts w:cs="Arial"/>
          <w:sz w:val="28"/>
          <w:szCs w:val="28"/>
        </w:rPr>
        <w:t xml:space="preserve">If a claimant remains dissatisfied following receipt of the response to their PAP letter, they may apply to the High Court for permission to bring a challenge.  The aim of this filter is to only allow a claim to proceed where on the papers there is an arguable claim  </w:t>
      </w:r>
    </w:p>
    <w:p w14:paraId="4D47AB6C" w14:textId="77777777" w:rsidR="00CF6B30" w:rsidRDefault="00271188" w:rsidP="00271188">
      <w:pPr>
        <w:rPr>
          <w:rFonts w:cs="Arial"/>
          <w:sz w:val="28"/>
          <w:szCs w:val="28"/>
        </w:rPr>
      </w:pPr>
      <w:r w:rsidRPr="008429ED">
        <w:rPr>
          <w:rFonts w:cs="Arial"/>
          <w:sz w:val="28"/>
          <w:szCs w:val="28"/>
        </w:rPr>
        <w:t xml:space="preserve">If permission is given, the claim can proceed to a hearing.  If permission is not given, then subject to any appeal the matter stops there. </w:t>
      </w:r>
    </w:p>
    <w:p w14:paraId="6EE958E9" w14:textId="77777777" w:rsidR="00CF6B30" w:rsidRDefault="00CF6B30" w:rsidP="00271188">
      <w:pPr>
        <w:rPr>
          <w:rFonts w:cs="Arial"/>
          <w:sz w:val="28"/>
          <w:szCs w:val="28"/>
        </w:rPr>
      </w:pPr>
    </w:p>
    <w:p w14:paraId="6A5E76FC" w14:textId="5E1E31E4" w:rsidR="00271188" w:rsidRPr="008429ED" w:rsidRDefault="00CF6B30" w:rsidP="00271188">
      <w:pPr>
        <w:rPr>
          <w:rFonts w:cs="Arial"/>
          <w:sz w:val="28"/>
          <w:szCs w:val="28"/>
        </w:rPr>
      </w:pPr>
      <w:r>
        <w:rPr>
          <w:rFonts w:cs="Arial"/>
          <w:sz w:val="28"/>
          <w:szCs w:val="28"/>
        </w:rPr>
        <w:t>Permission may be given on some or all of the Grounds of Challenge, and a review would be undertaken at that point on whether to proceed further with the Claim</w:t>
      </w:r>
      <w:r w:rsidR="000928BE">
        <w:rPr>
          <w:rFonts w:cs="Arial"/>
          <w:sz w:val="28"/>
          <w:szCs w:val="28"/>
        </w:rPr>
        <w:t xml:space="preserve"> and further advice given</w:t>
      </w:r>
      <w:r>
        <w:rPr>
          <w:rFonts w:cs="Arial"/>
          <w:sz w:val="28"/>
          <w:szCs w:val="28"/>
        </w:rPr>
        <w:t xml:space="preserve">. </w:t>
      </w:r>
    </w:p>
    <w:p w14:paraId="10E5A629" w14:textId="77777777" w:rsidR="00B437FD" w:rsidRPr="008429ED" w:rsidRDefault="00B437FD" w:rsidP="00271188">
      <w:pPr>
        <w:rPr>
          <w:rFonts w:cs="Arial"/>
          <w:b/>
          <w:bCs/>
          <w:sz w:val="28"/>
          <w:szCs w:val="28"/>
        </w:rPr>
      </w:pPr>
    </w:p>
    <w:p w14:paraId="450798E8" w14:textId="27DE295D" w:rsidR="00271188" w:rsidRPr="008429ED" w:rsidRDefault="00271188" w:rsidP="00271188">
      <w:pPr>
        <w:rPr>
          <w:rFonts w:cs="Arial"/>
          <w:b/>
          <w:bCs/>
          <w:sz w:val="28"/>
          <w:szCs w:val="28"/>
        </w:rPr>
      </w:pPr>
      <w:r w:rsidRPr="008429ED">
        <w:rPr>
          <w:rFonts w:cs="Arial"/>
          <w:b/>
          <w:bCs/>
          <w:sz w:val="28"/>
          <w:szCs w:val="28"/>
        </w:rPr>
        <w:t>Timing</w:t>
      </w:r>
    </w:p>
    <w:p w14:paraId="4F81E3AF" w14:textId="77777777" w:rsidR="00271188" w:rsidRPr="008429ED" w:rsidRDefault="00271188" w:rsidP="00271188">
      <w:pPr>
        <w:rPr>
          <w:rFonts w:cs="Arial"/>
          <w:sz w:val="28"/>
          <w:szCs w:val="28"/>
        </w:rPr>
      </w:pPr>
      <w:r w:rsidRPr="008429ED">
        <w:rPr>
          <w:rFonts w:cs="Arial"/>
          <w:sz w:val="28"/>
          <w:szCs w:val="28"/>
        </w:rPr>
        <w:t>Any Judicial Review claim must be brought promptly and in any event within 3 months of the decision being challenged, here by 24</w:t>
      </w:r>
      <w:r w:rsidRPr="008429ED">
        <w:rPr>
          <w:rFonts w:cs="Arial"/>
          <w:sz w:val="28"/>
          <w:szCs w:val="28"/>
          <w:vertAlign w:val="superscript"/>
        </w:rPr>
        <w:t>th</w:t>
      </w:r>
      <w:r w:rsidRPr="008429ED">
        <w:rPr>
          <w:rFonts w:cs="Arial"/>
          <w:sz w:val="28"/>
          <w:szCs w:val="28"/>
        </w:rPr>
        <w:t xml:space="preserve"> February 2023. </w:t>
      </w:r>
    </w:p>
    <w:p w14:paraId="68620ADA" w14:textId="77777777" w:rsidR="00B437FD" w:rsidRPr="008429ED" w:rsidRDefault="00B437FD" w:rsidP="00271188">
      <w:pPr>
        <w:rPr>
          <w:rFonts w:cs="Arial"/>
          <w:b/>
          <w:bCs/>
          <w:sz w:val="28"/>
          <w:szCs w:val="28"/>
        </w:rPr>
      </w:pPr>
    </w:p>
    <w:p w14:paraId="45087D87" w14:textId="55243069" w:rsidR="00271188" w:rsidRPr="008429ED" w:rsidRDefault="00271188" w:rsidP="00271188">
      <w:pPr>
        <w:rPr>
          <w:rFonts w:cs="Arial"/>
          <w:b/>
          <w:bCs/>
          <w:sz w:val="28"/>
          <w:szCs w:val="28"/>
        </w:rPr>
      </w:pPr>
      <w:r w:rsidRPr="008429ED">
        <w:rPr>
          <w:rFonts w:cs="Arial"/>
          <w:b/>
          <w:bCs/>
          <w:sz w:val="28"/>
          <w:szCs w:val="28"/>
        </w:rPr>
        <w:t>Parties</w:t>
      </w:r>
    </w:p>
    <w:p w14:paraId="71C46C6C" w14:textId="5D17EC35" w:rsidR="00271188" w:rsidRPr="008429ED" w:rsidRDefault="00271188" w:rsidP="00271188">
      <w:pPr>
        <w:rPr>
          <w:rFonts w:cs="Arial"/>
          <w:sz w:val="28"/>
          <w:szCs w:val="28"/>
        </w:rPr>
      </w:pPr>
      <w:r w:rsidRPr="008429ED">
        <w:rPr>
          <w:rFonts w:cs="Arial"/>
          <w:sz w:val="28"/>
          <w:szCs w:val="28"/>
        </w:rPr>
        <w:t xml:space="preserve">The </w:t>
      </w:r>
      <w:r w:rsidR="006F6839">
        <w:rPr>
          <w:rFonts w:cs="Arial"/>
          <w:sz w:val="28"/>
          <w:szCs w:val="28"/>
        </w:rPr>
        <w:t xml:space="preserve">Portfolio Holder </w:t>
      </w:r>
      <w:r w:rsidRPr="008429ED">
        <w:rPr>
          <w:rFonts w:cs="Arial"/>
          <w:sz w:val="28"/>
          <w:szCs w:val="28"/>
        </w:rPr>
        <w:t xml:space="preserve">will be updated as to the intentions of the London Boroughs of Hillingdon, Bexley and Bromley to jointly bring the High Court challenge, and whether any other Boroughs </w:t>
      </w:r>
      <w:r w:rsidR="00244996">
        <w:rPr>
          <w:rFonts w:cs="Arial"/>
          <w:sz w:val="28"/>
          <w:szCs w:val="28"/>
        </w:rPr>
        <w:t xml:space="preserve">or interested parties </w:t>
      </w:r>
      <w:r w:rsidRPr="008429ED">
        <w:rPr>
          <w:rFonts w:cs="Arial"/>
          <w:sz w:val="28"/>
          <w:szCs w:val="28"/>
        </w:rPr>
        <w:t xml:space="preserve">have also agreed to do so.  </w:t>
      </w:r>
    </w:p>
    <w:p w14:paraId="52A3ED71" w14:textId="77777777" w:rsidR="00271188" w:rsidRPr="00192F10" w:rsidRDefault="00271188" w:rsidP="00192F10">
      <w:pPr>
        <w:spacing w:after="240"/>
        <w:rPr>
          <w:rFonts w:cs="Arial"/>
          <w:b/>
          <w:color w:val="0000FF"/>
          <w:sz w:val="28"/>
          <w:szCs w:val="28"/>
        </w:rPr>
      </w:pPr>
    </w:p>
    <w:p w14:paraId="2D57031F" w14:textId="71AC40D3" w:rsidR="005052B6" w:rsidRDefault="005052B6" w:rsidP="00192F10">
      <w:pPr>
        <w:pStyle w:val="Heading3"/>
      </w:pPr>
      <w:r>
        <w:t>Risk Management Implications</w:t>
      </w:r>
    </w:p>
    <w:p w14:paraId="3901300B" w14:textId="77777777" w:rsidR="009206EE" w:rsidRDefault="009206EE" w:rsidP="009206EE"/>
    <w:p w14:paraId="7DD53676" w14:textId="4899EBBA" w:rsidR="009B4288" w:rsidRDefault="009B4288" w:rsidP="00757D25">
      <w:pPr>
        <w:tabs>
          <w:tab w:val="left" w:pos="5610"/>
        </w:tabs>
        <w:ind w:right="81"/>
        <w:rPr>
          <w:rFonts w:cs="Arial"/>
          <w:szCs w:val="24"/>
          <w:lang w:val="en-US"/>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53F52B71" w14:textId="77777777" w:rsidR="00757D25" w:rsidRDefault="00757D25" w:rsidP="00757D25">
      <w:pPr>
        <w:tabs>
          <w:tab w:val="left" w:pos="5610"/>
        </w:tabs>
        <w:ind w:right="81"/>
        <w:rPr>
          <w:rFonts w:cs="Arial"/>
          <w:szCs w:val="24"/>
          <w:lang w:val="en-US" w:eastAsia="en-GB"/>
        </w:rPr>
      </w:pPr>
    </w:p>
    <w:p w14:paraId="77974799" w14:textId="6544DEBA" w:rsidR="009B4288" w:rsidRDefault="009B4288" w:rsidP="009B4288">
      <w:pPr>
        <w:ind w:left="-142" w:right="141" w:firstLine="142"/>
        <w:rPr>
          <w:rFonts w:cs="Arial"/>
          <w:color w:val="4F81BD" w:themeColor="accent1"/>
          <w:szCs w:val="24"/>
          <w:lang w:val="en-US" w:eastAsia="en-GB"/>
        </w:rPr>
      </w:pPr>
      <w:r>
        <w:rPr>
          <w:rFonts w:cs="Arial"/>
          <w:szCs w:val="24"/>
          <w:lang w:val="en-US" w:eastAsia="en-GB"/>
        </w:rPr>
        <w:t>Separate risk register in place?</w:t>
      </w:r>
      <w:r w:rsidR="00757D25">
        <w:rPr>
          <w:rFonts w:cs="Arial"/>
          <w:szCs w:val="24"/>
          <w:lang w:val="en-US" w:eastAsia="en-GB"/>
        </w:rPr>
        <w:t xml:space="preserve"> </w:t>
      </w:r>
      <w:r>
        <w:rPr>
          <w:rFonts w:cs="Arial"/>
          <w:b/>
          <w:bCs/>
          <w:szCs w:val="24"/>
          <w:lang w:val="en-US" w:eastAsia="en-GB"/>
        </w:rPr>
        <w:t>No</w:t>
      </w:r>
      <w:r>
        <w:rPr>
          <w:rFonts w:cs="Arial"/>
          <w:szCs w:val="24"/>
          <w:lang w:val="en-US" w:eastAsia="en-GB"/>
        </w:rPr>
        <w:t xml:space="preserve"> </w:t>
      </w:r>
    </w:p>
    <w:p w14:paraId="01A2A6CE" w14:textId="77777777" w:rsidR="009B4288" w:rsidRDefault="009B4288" w:rsidP="009B4288">
      <w:pPr>
        <w:tabs>
          <w:tab w:val="left" w:pos="5610"/>
        </w:tabs>
        <w:ind w:left="567" w:right="81" w:hanging="567"/>
      </w:pPr>
    </w:p>
    <w:p w14:paraId="0F1E2438" w14:textId="77777777" w:rsidR="009B4288" w:rsidRDefault="009B4288" w:rsidP="009B4288">
      <w:r>
        <w:t>The following key risks should be taken into account when agreeing the recommendations in this report:</w:t>
      </w:r>
    </w:p>
    <w:p w14:paraId="12603DA8" w14:textId="77777777" w:rsidR="009B4288" w:rsidRDefault="009B4288" w:rsidP="009B4288">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539"/>
        <w:gridCol w:w="3827"/>
        <w:gridCol w:w="1269"/>
      </w:tblGrid>
      <w:tr w:rsidR="00CF0772" w14:paraId="0F41CCF8" w14:textId="77777777" w:rsidTr="002562C9">
        <w:trPr>
          <w:tblHeader/>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A0A2F" w14:textId="77777777" w:rsidR="00CF0772" w:rsidRDefault="00CF0772" w:rsidP="00CB687A">
            <w:pPr>
              <w:spacing w:line="247" w:lineRule="auto"/>
              <w:ind w:right="141"/>
              <w:rPr>
                <w:rFonts w:cs="Arial"/>
                <w:b/>
                <w:bCs/>
                <w:szCs w:val="24"/>
                <w:lang w:val="en-US" w:eastAsia="en-GB"/>
              </w:rPr>
            </w:pPr>
            <w:r>
              <w:rPr>
                <w:rFonts w:cs="Arial"/>
                <w:b/>
                <w:bCs/>
                <w:szCs w:val="24"/>
                <w:lang w:val="en-US" w:eastAsia="en-GB"/>
              </w:rPr>
              <w:t>Risk Description</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D570BD" w14:textId="77777777" w:rsidR="00CF0772" w:rsidRDefault="00CF0772" w:rsidP="00CB687A">
            <w:pPr>
              <w:spacing w:line="247" w:lineRule="auto"/>
              <w:ind w:right="141"/>
              <w:rPr>
                <w:rFonts w:cs="Arial"/>
                <w:b/>
                <w:bCs/>
                <w:szCs w:val="24"/>
                <w:lang w:val="en-US" w:eastAsia="en-GB"/>
              </w:rPr>
            </w:pPr>
            <w:r>
              <w:rPr>
                <w:rFonts w:cs="Arial"/>
                <w:b/>
                <w:bCs/>
                <w:szCs w:val="24"/>
                <w:lang w:val="en-US" w:eastAsia="en-GB"/>
              </w:rPr>
              <w:t>Mitigations</w:t>
            </w:r>
          </w:p>
        </w:tc>
        <w:tc>
          <w:tcPr>
            <w:tcW w:w="1269" w:type="dxa"/>
            <w:tcBorders>
              <w:top w:val="single" w:sz="4" w:space="0" w:color="000000"/>
              <w:left w:val="single" w:sz="4" w:space="0" w:color="000000"/>
              <w:bottom w:val="single" w:sz="4" w:space="0" w:color="000000"/>
              <w:right w:val="single" w:sz="4" w:space="0" w:color="000000"/>
            </w:tcBorders>
            <w:vAlign w:val="center"/>
            <w:hideMark/>
          </w:tcPr>
          <w:p w14:paraId="5B52B6F5" w14:textId="77777777" w:rsidR="00CF0772" w:rsidRDefault="00CF0772"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CF0772" w14:paraId="24D8D4FF" w14:textId="77777777" w:rsidTr="002562C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65521" w14:textId="77777777" w:rsidR="00CF0772" w:rsidRDefault="00CF0772" w:rsidP="00CB687A">
            <w:pPr>
              <w:spacing w:line="247" w:lineRule="auto"/>
              <w:ind w:right="141"/>
              <w:rPr>
                <w:rFonts w:cs="Arial"/>
                <w:szCs w:val="24"/>
                <w:lang w:val="en-US" w:eastAsia="en-GB"/>
              </w:rPr>
            </w:pPr>
          </w:p>
          <w:p w14:paraId="66206194" w14:textId="00E978EF" w:rsidR="00285351" w:rsidRDefault="00285351" w:rsidP="00CB687A">
            <w:pPr>
              <w:spacing w:line="247" w:lineRule="auto"/>
              <w:ind w:right="141"/>
              <w:rPr>
                <w:rFonts w:cs="Arial"/>
                <w:szCs w:val="24"/>
                <w:lang w:val="en-US" w:eastAsia="en-GB"/>
              </w:rPr>
            </w:pPr>
            <w:r>
              <w:rPr>
                <w:rFonts w:cs="Arial"/>
                <w:szCs w:val="24"/>
                <w:lang w:val="en-US" w:eastAsia="en-GB"/>
              </w:rPr>
              <w:t xml:space="preserve">Harrow’s legal challenge may fail, </w:t>
            </w:r>
            <w:r w:rsidR="006E05BA">
              <w:rPr>
                <w:rFonts w:cs="Arial"/>
                <w:szCs w:val="24"/>
                <w:lang w:val="en-US" w:eastAsia="en-GB"/>
              </w:rPr>
              <w:t xml:space="preserve">in which event it would be </w:t>
            </w:r>
            <w:r>
              <w:rPr>
                <w:rFonts w:cs="Arial"/>
                <w:szCs w:val="24"/>
                <w:lang w:val="en-US" w:eastAsia="en-GB"/>
              </w:rPr>
              <w:t xml:space="preserve">ordered to pay the Mayor &amp; </w:t>
            </w:r>
            <w:proofErr w:type="spellStart"/>
            <w:r>
              <w:rPr>
                <w:rFonts w:cs="Arial"/>
                <w:szCs w:val="24"/>
                <w:lang w:val="en-US" w:eastAsia="en-GB"/>
              </w:rPr>
              <w:t>TfL’s</w:t>
            </w:r>
            <w:proofErr w:type="spellEnd"/>
            <w:r>
              <w:rPr>
                <w:rFonts w:cs="Arial"/>
                <w:szCs w:val="24"/>
                <w:lang w:val="en-US" w:eastAsia="en-GB"/>
              </w:rPr>
              <w:t xml:space="preserve"> legal costs  </w:t>
            </w:r>
          </w:p>
          <w:p w14:paraId="6A60F226" w14:textId="73D5A4CE" w:rsidR="00285351" w:rsidRDefault="00285351" w:rsidP="00CB687A">
            <w:pPr>
              <w:spacing w:line="247" w:lineRule="auto"/>
              <w:ind w:right="141"/>
              <w:rPr>
                <w:rFonts w:cs="Arial"/>
                <w:szCs w:val="24"/>
                <w:lang w:val="en-US" w:eastAsia="en-GB"/>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69484" w14:textId="77777777" w:rsidR="00CF0772" w:rsidRPr="0004638F" w:rsidRDefault="00CF0772" w:rsidP="0004638F">
            <w:pPr>
              <w:suppressAutoHyphens/>
              <w:autoSpaceDN w:val="0"/>
              <w:spacing w:line="247" w:lineRule="auto"/>
              <w:ind w:right="141"/>
              <w:rPr>
                <w:szCs w:val="24"/>
                <w:lang w:val="en-US"/>
              </w:rPr>
            </w:pPr>
          </w:p>
          <w:p w14:paraId="08C693B7" w14:textId="38519F89" w:rsidR="0004638F" w:rsidRPr="002562C9" w:rsidRDefault="00AC7CD8" w:rsidP="002562C9">
            <w:pPr>
              <w:suppressAutoHyphens/>
              <w:autoSpaceDN w:val="0"/>
              <w:spacing w:line="247" w:lineRule="auto"/>
              <w:ind w:right="141"/>
              <w:rPr>
                <w:szCs w:val="24"/>
                <w:lang w:val="en-US"/>
              </w:rPr>
            </w:pPr>
            <w:r w:rsidRPr="002562C9">
              <w:rPr>
                <w:szCs w:val="24"/>
                <w:lang w:val="en-US"/>
              </w:rPr>
              <w:t>If t</w:t>
            </w:r>
            <w:r w:rsidR="0004638F" w:rsidRPr="002562C9">
              <w:rPr>
                <w:szCs w:val="24"/>
                <w:lang w:val="en-US"/>
              </w:rPr>
              <w:t xml:space="preserve">he claim is brought with other London Boroughs, </w:t>
            </w:r>
            <w:r w:rsidRPr="002562C9">
              <w:rPr>
                <w:szCs w:val="24"/>
                <w:lang w:val="en-US"/>
              </w:rPr>
              <w:t xml:space="preserve">this would </w:t>
            </w:r>
            <w:r w:rsidR="0004638F" w:rsidRPr="002562C9">
              <w:rPr>
                <w:szCs w:val="24"/>
                <w:lang w:val="en-US"/>
              </w:rPr>
              <w:t>reduce</w:t>
            </w:r>
            <w:r w:rsidRPr="002562C9">
              <w:rPr>
                <w:szCs w:val="24"/>
                <w:lang w:val="en-US"/>
              </w:rPr>
              <w:t xml:space="preserve"> </w:t>
            </w:r>
            <w:r w:rsidR="0004638F" w:rsidRPr="002562C9">
              <w:rPr>
                <w:szCs w:val="24"/>
                <w:lang w:val="en-US"/>
              </w:rPr>
              <w:t>Harrow’s possible costs exposure</w:t>
            </w:r>
          </w:p>
          <w:p w14:paraId="5017979F" w14:textId="77777777" w:rsidR="00966BC9" w:rsidRDefault="00966BC9" w:rsidP="002562C9">
            <w:pPr>
              <w:pStyle w:val="ListParagraph"/>
              <w:suppressAutoHyphens/>
              <w:autoSpaceDN w:val="0"/>
              <w:spacing w:line="247" w:lineRule="auto"/>
              <w:ind w:left="171" w:right="141"/>
              <w:rPr>
                <w:szCs w:val="24"/>
                <w:lang w:val="en-US"/>
              </w:rPr>
            </w:pPr>
          </w:p>
          <w:p w14:paraId="5CEC5754" w14:textId="42F808C4" w:rsidR="00CF0772" w:rsidRPr="002562C9" w:rsidRDefault="0004638F" w:rsidP="002562C9">
            <w:pPr>
              <w:suppressAutoHyphens/>
              <w:autoSpaceDN w:val="0"/>
              <w:spacing w:line="247" w:lineRule="auto"/>
              <w:ind w:right="141"/>
              <w:rPr>
                <w:szCs w:val="24"/>
                <w:lang w:val="en-US"/>
              </w:rPr>
            </w:pPr>
            <w:r w:rsidRPr="002562C9">
              <w:rPr>
                <w:szCs w:val="24"/>
                <w:lang w:val="en-US"/>
              </w:rPr>
              <w:lastRenderedPageBreak/>
              <w:t xml:space="preserve">Harrow </w:t>
            </w:r>
            <w:r w:rsidR="00D33DD0" w:rsidRPr="002562C9">
              <w:rPr>
                <w:szCs w:val="24"/>
                <w:lang w:val="en-US"/>
              </w:rPr>
              <w:t xml:space="preserve">is being </w:t>
            </w:r>
            <w:r w:rsidRPr="002562C9">
              <w:rPr>
                <w:szCs w:val="24"/>
                <w:lang w:val="en-US"/>
              </w:rPr>
              <w:t xml:space="preserve">advised and </w:t>
            </w:r>
            <w:r w:rsidR="00D33DD0" w:rsidRPr="002562C9">
              <w:rPr>
                <w:szCs w:val="24"/>
                <w:lang w:val="en-US"/>
              </w:rPr>
              <w:t>would be represented b</w:t>
            </w:r>
            <w:r w:rsidRPr="002562C9">
              <w:rPr>
                <w:szCs w:val="24"/>
                <w:lang w:val="en-US"/>
              </w:rPr>
              <w:t>y an experienced King</w:t>
            </w:r>
            <w:r w:rsidR="00966BC9" w:rsidRPr="002562C9">
              <w:rPr>
                <w:szCs w:val="24"/>
                <w:lang w:val="en-US"/>
              </w:rPr>
              <w:t>’</w:t>
            </w:r>
            <w:r w:rsidRPr="002562C9">
              <w:rPr>
                <w:szCs w:val="24"/>
                <w:lang w:val="en-US"/>
              </w:rPr>
              <w:t xml:space="preserve">s Counsel  </w:t>
            </w:r>
          </w:p>
          <w:p w14:paraId="71DF2760" w14:textId="77777777" w:rsidR="00CF0772" w:rsidRDefault="00CF0772" w:rsidP="00AA0B21">
            <w:pPr>
              <w:pStyle w:val="ListParagraph"/>
              <w:suppressAutoHyphens/>
              <w:autoSpaceDN w:val="0"/>
              <w:spacing w:line="247" w:lineRule="auto"/>
              <w:ind w:left="171" w:right="141"/>
              <w:rPr>
                <w:szCs w:val="24"/>
                <w:lang w:val="en-US"/>
              </w:rPr>
            </w:pPr>
          </w:p>
        </w:tc>
        <w:tc>
          <w:tcPr>
            <w:tcW w:w="1269" w:type="dxa"/>
            <w:tcBorders>
              <w:top w:val="single" w:sz="4" w:space="0" w:color="000000"/>
              <w:left w:val="single" w:sz="4" w:space="0" w:color="000000"/>
              <w:bottom w:val="single" w:sz="4" w:space="0" w:color="000000"/>
              <w:right w:val="single" w:sz="4" w:space="0" w:color="000000"/>
            </w:tcBorders>
            <w:hideMark/>
          </w:tcPr>
          <w:p w14:paraId="75C826F6" w14:textId="77777777" w:rsidR="007743C9" w:rsidRDefault="007743C9" w:rsidP="00CB687A">
            <w:pPr>
              <w:spacing w:line="247" w:lineRule="auto"/>
              <w:ind w:left="171" w:right="141"/>
              <w:rPr>
                <w:rFonts w:cs="Arial"/>
                <w:szCs w:val="24"/>
                <w:lang w:val="en-US" w:eastAsia="en-GB"/>
              </w:rPr>
            </w:pPr>
          </w:p>
          <w:p w14:paraId="441A596E" w14:textId="0E7D17DD" w:rsidR="00CF0772" w:rsidRDefault="00AA0B21" w:rsidP="00CB687A">
            <w:pPr>
              <w:spacing w:line="247" w:lineRule="auto"/>
              <w:ind w:left="171" w:right="141"/>
              <w:rPr>
                <w:rFonts w:cs="Arial"/>
                <w:szCs w:val="24"/>
                <w:lang w:val="en-US" w:eastAsia="en-GB"/>
              </w:rPr>
            </w:pPr>
            <w:r>
              <w:rPr>
                <w:rFonts w:cs="Arial"/>
                <w:szCs w:val="24"/>
                <w:lang w:val="en-US" w:eastAsia="en-GB"/>
              </w:rPr>
              <w:t>Red</w:t>
            </w:r>
          </w:p>
          <w:p w14:paraId="41E5B836" w14:textId="55709952" w:rsidR="00CF0772" w:rsidRDefault="00CF0772" w:rsidP="00CB687A">
            <w:pPr>
              <w:spacing w:line="247" w:lineRule="auto"/>
              <w:ind w:left="171" w:right="141"/>
              <w:rPr>
                <w:rFonts w:cs="Arial"/>
                <w:szCs w:val="24"/>
                <w:lang w:val="en-US" w:eastAsia="en-GB"/>
              </w:rPr>
            </w:pPr>
          </w:p>
        </w:tc>
      </w:tr>
      <w:tr w:rsidR="00CF0772" w14:paraId="58F53C54" w14:textId="77777777" w:rsidTr="002562C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00B43" w14:textId="10D27513" w:rsidR="00CF0772" w:rsidRPr="00CC7490" w:rsidRDefault="00164BD8" w:rsidP="00CB687A">
            <w:pPr>
              <w:spacing w:line="247" w:lineRule="auto"/>
              <w:ind w:right="141"/>
              <w:rPr>
                <w:rFonts w:cs="Arial"/>
                <w:szCs w:val="24"/>
                <w:lang w:val="en-US" w:eastAsia="en-GB"/>
              </w:rPr>
            </w:pPr>
            <w:r w:rsidRPr="00CC7490">
              <w:rPr>
                <w:rFonts w:cs="Arial"/>
                <w:szCs w:val="24"/>
                <w:lang w:val="en-US" w:eastAsia="en-GB"/>
              </w:rPr>
              <w:t>There is no budget to cover the cost</w:t>
            </w:r>
            <w:r w:rsidR="00C077F0" w:rsidRPr="00CC7490">
              <w:rPr>
                <w:rFonts w:cs="Arial"/>
                <w:szCs w:val="24"/>
                <w:lang w:val="en-US" w:eastAsia="en-GB"/>
              </w:rPr>
              <w:t>s</w:t>
            </w:r>
            <w:r w:rsidRPr="00CC7490">
              <w:rPr>
                <w:rFonts w:cs="Arial"/>
                <w:szCs w:val="24"/>
                <w:lang w:val="en-US" w:eastAsia="en-GB"/>
              </w:rPr>
              <w:t xml:space="preserve"> of </w:t>
            </w:r>
            <w:r w:rsidR="00CF33A3" w:rsidRPr="00CC7490">
              <w:rPr>
                <w:rFonts w:cs="Arial"/>
                <w:szCs w:val="24"/>
                <w:lang w:val="en-US" w:eastAsia="en-GB"/>
              </w:rPr>
              <w:t xml:space="preserve">bringing </w:t>
            </w:r>
            <w:r w:rsidR="00C077F0" w:rsidRPr="00CC7490">
              <w:rPr>
                <w:rFonts w:cs="Arial"/>
                <w:szCs w:val="24"/>
                <w:lang w:val="en-US" w:eastAsia="en-GB"/>
              </w:rPr>
              <w:t>a</w:t>
            </w:r>
            <w:r w:rsidR="001E4545" w:rsidRPr="00CC7490">
              <w:rPr>
                <w:rFonts w:cs="Arial"/>
                <w:szCs w:val="24"/>
                <w:lang w:val="en-US" w:eastAsia="en-GB"/>
              </w:rPr>
              <w:t xml:space="preserve"> claim or for paying </w:t>
            </w:r>
            <w:r w:rsidR="003D63BE" w:rsidRPr="00CC7490">
              <w:rPr>
                <w:rFonts w:cs="Arial"/>
                <w:szCs w:val="24"/>
                <w:lang w:val="en-US" w:eastAsia="en-GB"/>
              </w:rPr>
              <w:t xml:space="preserve">the legal costs of the Mayor and </w:t>
            </w:r>
            <w:proofErr w:type="spellStart"/>
            <w:r w:rsidR="003D63BE" w:rsidRPr="00CC7490">
              <w:rPr>
                <w:rFonts w:cs="Arial"/>
                <w:szCs w:val="24"/>
                <w:lang w:val="en-US" w:eastAsia="en-GB"/>
              </w:rPr>
              <w:t>TfL</w:t>
            </w:r>
            <w:proofErr w:type="spellEnd"/>
            <w:r w:rsidR="003D63BE" w:rsidRPr="00CC7490">
              <w:rPr>
                <w:rFonts w:cs="Arial"/>
                <w:szCs w:val="24"/>
                <w:lang w:val="en-US" w:eastAsia="en-GB"/>
              </w:rPr>
              <w:t xml:space="preserve"> </w:t>
            </w:r>
            <w:r w:rsidR="001E4545" w:rsidRPr="00CC7490">
              <w:rPr>
                <w:rFonts w:cs="Arial"/>
                <w:szCs w:val="24"/>
                <w:lang w:val="en-US" w:eastAsia="en-GB"/>
              </w:rPr>
              <w:t>if the claim fails (</w:t>
            </w:r>
            <w:r w:rsidR="003D63BE" w:rsidRPr="00CC7490">
              <w:rPr>
                <w:rFonts w:cs="Arial"/>
                <w:szCs w:val="24"/>
                <w:lang w:val="en-US" w:eastAsia="en-GB"/>
              </w:rPr>
              <w:t>total approx. £400k</w:t>
            </w:r>
            <w:r w:rsidR="001E4545" w:rsidRPr="00CC7490">
              <w:rPr>
                <w:rFonts w:cs="Arial"/>
                <w:szCs w:val="24"/>
                <w:lang w:val="en-US" w:eastAsia="en-GB"/>
              </w:rPr>
              <w:t>)</w:t>
            </w:r>
            <w:r w:rsidR="00B52C79" w:rsidRPr="00CC7490">
              <w:rPr>
                <w:rFonts w:cs="Arial"/>
                <w:szCs w:val="24"/>
                <w:lang w:val="en-US" w:eastAsia="en-GB"/>
              </w:rPr>
              <w:t xml:space="preserve"> leading to a worsening of Harrow’s financial situation.</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CDE6" w14:textId="74236A4C" w:rsidR="00CF0772" w:rsidRPr="002562C9" w:rsidRDefault="00B52C79" w:rsidP="002562C9">
            <w:pPr>
              <w:suppressAutoHyphens/>
              <w:autoSpaceDN w:val="0"/>
              <w:spacing w:line="247" w:lineRule="auto"/>
              <w:ind w:right="141"/>
              <w:rPr>
                <w:szCs w:val="24"/>
                <w:lang w:val="en-US"/>
              </w:rPr>
            </w:pPr>
            <w:r w:rsidRPr="002562C9">
              <w:rPr>
                <w:szCs w:val="24"/>
                <w:lang w:val="en-US"/>
              </w:rPr>
              <w:t>Use of reserves</w:t>
            </w:r>
          </w:p>
          <w:p w14:paraId="4C40690B" w14:textId="77777777" w:rsidR="00CF0772" w:rsidRPr="00AA0B21" w:rsidRDefault="00CF0772" w:rsidP="00AA0B21">
            <w:pPr>
              <w:pStyle w:val="ListParagraph"/>
              <w:suppressAutoHyphens/>
              <w:autoSpaceDN w:val="0"/>
              <w:spacing w:line="247" w:lineRule="auto"/>
              <w:ind w:left="171" w:right="141"/>
              <w:rPr>
                <w:szCs w:val="24"/>
                <w:lang w:val="en-US"/>
              </w:rPr>
            </w:pPr>
          </w:p>
        </w:tc>
        <w:tc>
          <w:tcPr>
            <w:tcW w:w="1269" w:type="dxa"/>
            <w:tcBorders>
              <w:top w:val="single" w:sz="4" w:space="0" w:color="000000"/>
              <w:left w:val="single" w:sz="4" w:space="0" w:color="000000"/>
              <w:bottom w:val="single" w:sz="4" w:space="0" w:color="000000"/>
              <w:right w:val="single" w:sz="4" w:space="0" w:color="000000"/>
            </w:tcBorders>
          </w:tcPr>
          <w:p w14:paraId="5D5B5EB4" w14:textId="77777777" w:rsidR="00CF0772" w:rsidRDefault="00CF0772" w:rsidP="00CB687A">
            <w:pPr>
              <w:spacing w:line="247" w:lineRule="auto"/>
              <w:ind w:right="141"/>
              <w:rPr>
                <w:rFonts w:cs="Arial"/>
                <w:szCs w:val="24"/>
                <w:lang w:val="en-US" w:eastAsia="en-GB"/>
              </w:rPr>
            </w:pPr>
          </w:p>
          <w:p w14:paraId="5E0AA1FD" w14:textId="214A9081" w:rsidR="00FD5F85" w:rsidRDefault="00AA0B21" w:rsidP="00FD5F85">
            <w:pPr>
              <w:spacing w:line="247" w:lineRule="auto"/>
              <w:ind w:right="141"/>
              <w:jc w:val="center"/>
              <w:rPr>
                <w:rFonts w:cs="Arial"/>
                <w:szCs w:val="24"/>
                <w:lang w:val="en-US" w:eastAsia="en-GB"/>
              </w:rPr>
            </w:pPr>
            <w:r>
              <w:rPr>
                <w:rFonts w:cs="Arial"/>
                <w:szCs w:val="24"/>
                <w:lang w:val="en-US" w:eastAsia="en-GB"/>
              </w:rPr>
              <w:t>Red</w:t>
            </w:r>
          </w:p>
        </w:tc>
      </w:tr>
      <w:tr w:rsidR="001E4545" w14:paraId="49797AB0" w14:textId="77777777" w:rsidTr="002562C9">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A5AF4" w14:textId="16F2F22E" w:rsidR="001E4545" w:rsidRPr="00CC7490" w:rsidRDefault="001E4545" w:rsidP="00CB687A">
            <w:pPr>
              <w:spacing w:line="247" w:lineRule="auto"/>
              <w:ind w:right="141"/>
              <w:rPr>
                <w:rFonts w:cs="Arial"/>
                <w:szCs w:val="24"/>
                <w:lang w:val="en-US" w:eastAsia="en-GB"/>
              </w:rPr>
            </w:pPr>
            <w:r w:rsidRPr="00CC7490">
              <w:rPr>
                <w:rFonts w:cs="Arial"/>
                <w:szCs w:val="24"/>
                <w:lang w:val="en-US" w:eastAsia="en-GB"/>
              </w:rPr>
              <w:t xml:space="preserve">If </w:t>
            </w:r>
            <w:r w:rsidR="0084000B" w:rsidRPr="00CC7490">
              <w:rPr>
                <w:rFonts w:cs="Arial"/>
                <w:szCs w:val="24"/>
                <w:lang w:val="en-US" w:eastAsia="en-GB"/>
              </w:rPr>
              <w:t xml:space="preserve">expansion of </w:t>
            </w:r>
            <w:r w:rsidRPr="00CC7490">
              <w:rPr>
                <w:rFonts w:cs="Arial"/>
                <w:szCs w:val="24"/>
                <w:lang w:val="en-US" w:eastAsia="en-GB"/>
              </w:rPr>
              <w:t xml:space="preserve">ULEZ goes ahead Harrow </w:t>
            </w:r>
            <w:r w:rsidR="0084000B" w:rsidRPr="00CC7490">
              <w:rPr>
                <w:rFonts w:cs="Arial"/>
                <w:szCs w:val="24"/>
                <w:lang w:val="en-US" w:eastAsia="en-GB"/>
              </w:rPr>
              <w:t xml:space="preserve">may </w:t>
            </w:r>
            <w:r w:rsidRPr="00CC7490">
              <w:rPr>
                <w:rFonts w:cs="Arial"/>
                <w:szCs w:val="24"/>
                <w:lang w:val="en-US" w:eastAsia="en-GB"/>
              </w:rPr>
              <w:t xml:space="preserve">fail to meet part of its Vision, </w:t>
            </w:r>
            <w:r w:rsidR="0084000B" w:rsidRPr="00CC7490">
              <w:rPr>
                <w:rFonts w:cs="Arial"/>
                <w:szCs w:val="24"/>
                <w:lang w:val="en-US" w:eastAsia="en-GB"/>
              </w:rPr>
              <w:t>C</w:t>
            </w:r>
            <w:r w:rsidRPr="00CC7490">
              <w:rPr>
                <w:rFonts w:cs="Arial"/>
                <w:szCs w:val="24"/>
                <w:lang w:val="en-US" w:eastAsia="en-GB"/>
              </w:rPr>
              <w:t>orporate Priorities and/or flagship actions</w:t>
            </w:r>
            <w:r w:rsidR="00B52C79" w:rsidRPr="00CC7490">
              <w:rPr>
                <w:rFonts w:cs="Arial"/>
                <w:szCs w:val="24"/>
                <w:lang w:val="en-US" w:eastAsia="en-GB"/>
              </w:rPr>
              <w:t xml:space="preserve"> </w:t>
            </w:r>
            <w:r w:rsidR="00255A9E">
              <w:rPr>
                <w:rFonts w:cs="Arial"/>
                <w:szCs w:val="24"/>
                <w:lang w:val="en-US" w:eastAsia="en-GB"/>
              </w:rPr>
              <w:t xml:space="preserve">and there may be </w:t>
            </w:r>
            <w:r w:rsidR="00B52C79" w:rsidRPr="00CC7490">
              <w:rPr>
                <w:rFonts w:cs="Arial"/>
                <w:szCs w:val="24"/>
                <w:lang w:val="en-US" w:eastAsia="en-GB"/>
              </w:rPr>
              <w:t>a detrimental impact on Harrow’s poorest and most vulnerable residents</w:t>
            </w:r>
            <w:r w:rsidRPr="00CC7490">
              <w:rPr>
                <w:rFonts w:cs="Arial"/>
                <w:szCs w:val="24"/>
                <w:lang w:val="en-US" w:eastAsia="en-GB"/>
              </w:rPr>
              <w:t xml:space="preserve">.  </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55B4F" w14:textId="3ABB8E76" w:rsidR="001E4545" w:rsidRPr="00CC7490" w:rsidRDefault="00B52C79" w:rsidP="00CF0772">
            <w:pPr>
              <w:pStyle w:val="ListParagraph"/>
              <w:numPr>
                <w:ilvl w:val="0"/>
                <w:numId w:val="34"/>
              </w:numPr>
              <w:suppressAutoHyphens/>
              <w:autoSpaceDN w:val="0"/>
              <w:spacing w:line="247" w:lineRule="auto"/>
              <w:ind w:left="171" w:right="141" w:hanging="171"/>
              <w:rPr>
                <w:szCs w:val="24"/>
                <w:lang w:val="en-US"/>
              </w:rPr>
            </w:pPr>
            <w:r w:rsidRPr="00CC7490">
              <w:rPr>
                <w:szCs w:val="24"/>
                <w:lang w:val="en-US"/>
              </w:rPr>
              <w:t xml:space="preserve">Proceeding with the </w:t>
            </w:r>
            <w:r w:rsidR="00E921E1" w:rsidRPr="00CC7490">
              <w:rPr>
                <w:szCs w:val="24"/>
                <w:lang w:val="en-US"/>
              </w:rPr>
              <w:t>L</w:t>
            </w:r>
            <w:r w:rsidRPr="00CC7490">
              <w:rPr>
                <w:szCs w:val="24"/>
                <w:lang w:val="en-US"/>
              </w:rPr>
              <w:t>egal Challenge</w:t>
            </w:r>
          </w:p>
          <w:p w14:paraId="0E576E9B" w14:textId="77777777" w:rsidR="00B52C79" w:rsidRPr="00CC7490" w:rsidRDefault="00B52C79" w:rsidP="00CF0772">
            <w:pPr>
              <w:pStyle w:val="ListParagraph"/>
              <w:numPr>
                <w:ilvl w:val="0"/>
                <w:numId w:val="34"/>
              </w:numPr>
              <w:suppressAutoHyphens/>
              <w:autoSpaceDN w:val="0"/>
              <w:spacing w:line="247" w:lineRule="auto"/>
              <w:ind w:left="171" w:right="141" w:hanging="171"/>
              <w:rPr>
                <w:szCs w:val="24"/>
                <w:lang w:val="en-US"/>
              </w:rPr>
            </w:pPr>
            <w:r w:rsidRPr="00CC7490">
              <w:rPr>
                <w:szCs w:val="24"/>
                <w:lang w:val="en-US"/>
              </w:rPr>
              <w:t>Consideration of schemes to help those most impacted</w:t>
            </w:r>
          </w:p>
          <w:p w14:paraId="251FE4CF" w14:textId="53B40D3E" w:rsidR="005966BA" w:rsidRPr="00CC7490" w:rsidRDefault="005966BA" w:rsidP="00CF0772">
            <w:pPr>
              <w:pStyle w:val="ListParagraph"/>
              <w:numPr>
                <w:ilvl w:val="0"/>
                <w:numId w:val="34"/>
              </w:numPr>
              <w:suppressAutoHyphens/>
              <w:autoSpaceDN w:val="0"/>
              <w:spacing w:line="247" w:lineRule="auto"/>
              <w:ind w:left="171" w:right="141" w:hanging="171"/>
              <w:rPr>
                <w:szCs w:val="24"/>
                <w:lang w:val="en-US"/>
              </w:rPr>
            </w:pPr>
            <w:r w:rsidRPr="00CC7490">
              <w:rPr>
                <w:szCs w:val="24"/>
                <w:lang w:val="en-US"/>
              </w:rPr>
              <w:t xml:space="preserve">Negotiation with </w:t>
            </w:r>
            <w:proofErr w:type="spellStart"/>
            <w:r w:rsidRPr="00CC7490">
              <w:rPr>
                <w:szCs w:val="24"/>
                <w:lang w:val="en-US"/>
              </w:rPr>
              <w:t>TfL</w:t>
            </w:r>
            <w:proofErr w:type="spellEnd"/>
            <w:r w:rsidRPr="00CC7490">
              <w:rPr>
                <w:szCs w:val="24"/>
                <w:lang w:val="en-US"/>
              </w:rPr>
              <w:t xml:space="preserve"> on possible mitigations </w:t>
            </w:r>
          </w:p>
        </w:tc>
        <w:tc>
          <w:tcPr>
            <w:tcW w:w="1269" w:type="dxa"/>
            <w:tcBorders>
              <w:top w:val="single" w:sz="4" w:space="0" w:color="000000"/>
              <w:left w:val="single" w:sz="4" w:space="0" w:color="000000"/>
              <w:bottom w:val="single" w:sz="4" w:space="0" w:color="000000"/>
              <w:right w:val="single" w:sz="4" w:space="0" w:color="000000"/>
            </w:tcBorders>
          </w:tcPr>
          <w:p w14:paraId="44496039" w14:textId="77777777" w:rsidR="001E4545" w:rsidRDefault="001E4545" w:rsidP="00CB687A">
            <w:pPr>
              <w:spacing w:line="247" w:lineRule="auto"/>
              <w:ind w:right="141"/>
              <w:rPr>
                <w:rFonts w:cs="Arial"/>
                <w:szCs w:val="24"/>
                <w:lang w:val="en-US" w:eastAsia="en-GB"/>
              </w:rPr>
            </w:pPr>
          </w:p>
          <w:p w14:paraId="5399AC72" w14:textId="7C148BCA" w:rsidR="00FD5F85" w:rsidRDefault="00FD5F85" w:rsidP="00FD5F85">
            <w:pPr>
              <w:spacing w:line="247" w:lineRule="auto"/>
              <w:ind w:right="141"/>
              <w:jc w:val="center"/>
              <w:rPr>
                <w:rFonts w:cs="Arial"/>
                <w:szCs w:val="24"/>
                <w:lang w:val="en-US" w:eastAsia="en-GB"/>
              </w:rPr>
            </w:pPr>
            <w:r>
              <w:rPr>
                <w:rFonts w:cs="Arial"/>
                <w:szCs w:val="24"/>
                <w:lang w:val="en-US" w:eastAsia="en-GB"/>
              </w:rPr>
              <w:t>Amber</w:t>
            </w:r>
          </w:p>
        </w:tc>
      </w:tr>
    </w:tbl>
    <w:p w14:paraId="49370363" w14:textId="77777777" w:rsidR="00114AB9" w:rsidRPr="00192F10" w:rsidRDefault="00114AB9" w:rsidP="009B4288">
      <w:pPr>
        <w:pStyle w:val="Heading3"/>
        <w:spacing w:before="480"/>
      </w:pPr>
      <w:r w:rsidRPr="00192F10">
        <w:t xml:space="preserve">Procurement Implications </w:t>
      </w:r>
    </w:p>
    <w:p w14:paraId="26226FCA" w14:textId="5E93B959" w:rsidR="00292811" w:rsidRDefault="00292811" w:rsidP="00192F10">
      <w:pPr>
        <w:pStyle w:val="Heading4"/>
        <w:keepNext w:val="0"/>
        <w:rPr>
          <w:b w:val="0"/>
        </w:rPr>
      </w:pPr>
      <w:r>
        <w:rPr>
          <w:b w:val="0"/>
        </w:rPr>
        <w:t xml:space="preserve">If Harrow decides to pursue a Judicial Review, </w:t>
      </w:r>
      <w:r w:rsidR="00D8582B">
        <w:rPr>
          <w:b w:val="0"/>
        </w:rPr>
        <w:t xml:space="preserve">and it is </w:t>
      </w:r>
      <w:r>
        <w:rPr>
          <w:b w:val="0"/>
        </w:rPr>
        <w:t xml:space="preserve">done </w:t>
      </w:r>
      <w:r w:rsidR="00D330DD">
        <w:rPr>
          <w:b w:val="0"/>
        </w:rPr>
        <w:t xml:space="preserve">with the </w:t>
      </w:r>
      <w:r>
        <w:rPr>
          <w:b w:val="0"/>
        </w:rPr>
        <w:t>L</w:t>
      </w:r>
      <w:r w:rsidR="00D330DD">
        <w:rPr>
          <w:b w:val="0"/>
        </w:rPr>
        <w:t xml:space="preserve">ondon </w:t>
      </w:r>
      <w:r>
        <w:rPr>
          <w:b w:val="0"/>
        </w:rPr>
        <w:t>B</w:t>
      </w:r>
      <w:r w:rsidR="00D330DD">
        <w:rPr>
          <w:b w:val="0"/>
        </w:rPr>
        <w:t xml:space="preserve">orough of </w:t>
      </w:r>
      <w:r>
        <w:rPr>
          <w:b w:val="0"/>
        </w:rPr>
        <w:t>Hillingdon</w:t>
      </w:r>
      <w:r w:rsidR="00B64B44">
        <w:rPr>
          <w:b w:val="0"/>
        </w:rPr>
        <w:t xml:space="preserve"> on behalf of all authorities supporting the Claim</w:t>
      </w:r>
      <w:r w:rsidR="00D8582B">
        <w:rPr>
          <w:b w:val="0"/>
        </w:rPr>
        <w:t>, they have r</w:t>
      </w:r>
      <w:r>
        <w:rPr>
          <w:b w:val="0"/>
        </w:rPr>
        <w:t xml:space="preserve">etained Leading </w:t>
      </w:r>
      <w:r w:rsidR="00D8582B">
        <w:rPr>
          <w:b w:val="0"/>
        </w:rPr>
        <w:t xml:space="preserve">King’s </w:t>
      </w:r>
      <w:r>
        <w:rPr>
          <w:b w:val="0"/>
        </w:rPr>
        <w:t>Counsel to advise and represent the parties in Court</w:t>
      </w:r>
      <w:r w:rsidR="00B64B44">
        <w:rPr>
          <w:b w:val="0"/>
        </w:rPr>
        <w:t xml:space="preserve">, and </w:t>
      </w:r>
      <w:r w:rsidR="004E5F24">
        <w:rPr>
          <w:b w:val="0"/>
        </w:rPr>
        <w:t>Harrow has</w:t>
      </w:r>
      <w:r w:rsidR="00B64B44">
        <w:rPr>
          <w:b w:val="0"/>
        </w:rPr>
        <w:t xml:space="preserve"> and will reimburse Hillingdon for its share of the costs involved.</w:t>
      </w:r>
    </w:p>
    <w:p w14:paraId="04D7F7E7" w14:textId="6C4E129C" w:rsidR="00B64B44" w:rsidRDefault="00B64B44" w:rsidP="00B64B44"/>
    <w:p w14:paraId="0A2CE5A2" w14:textId="01E34610" w:rsidR="00B64B44" w:rsidRPr="00B64B44" w:rsidRDefault="005B1521" w:rsidP="00B64B44">
      <w:r>
        <w:t xml:space="preserve">In these circumstances </w:t>
      </w:r>
      <w:r w:rsidR="00B64B44">
        <w:t xml:space="preserve">there are no procurement implications for Harrow. </w:t>
      </w:r>
    </w:p>
    <w:p w14:paraId="0AD7CE9A" w14:textId="77777777" w:rsidR="00292811" w:rsidRDefault="00292811" w:rsidP="00192F10">
      <w:pPr>
        <w:pStyle w:val="Heading4"/>
        <w:keepNext w:val="0"/>
        <w:rPr>
          <w:b w:val="0"/>
        </w:rPr>
      </w:pPr>
    </w:p>
    <w:p w14:paraId="016576D2" w14:textId="77777777" w:rsidR="00C84140" w:rsidRDefault="00C84140" w:rsidP="000C4A0F">
      <w:pPr>
        <w:pStyle w:val="Heading3"/>
        <w:keepNext/>
      </w:pPr>
      <w:r>
        <w:t>Legal Implications</w:t>
      </w:r>
    </w:p>
    <w:p w14:paraId="36C7F99F" w14:textId="77BBD433" w:rsidR="00C76E72" w:rsidRDefault="00D330DD" w:rsidP="00C84140">
      <w:pPr>
        <w:pStyle w:val="Heading4"/>
        <w:rPr>
          <w:b w:val="0"/>
        </w:rPr>
      </w:pPr>
      <w:r>
        <w:rPr>
          <w:b w:val="0"/>
        </w:rPr>
        <w:t xml:space="preserve">A summary of the legal advice on the grounds of challenge is </w:t>
      </w:r>
      <w:r w:rsidR="00C76E72">
        <w:rPr>
          <w:b w:val="0"/>
        </w:rPr>
        <w:t>contained in a confidential Appendix 3.</w:t>
      </w:r>
      <w:r>
        <w:rPr>
          <w:b w:val="0"/>
        </w:rPr>
        <w:t xml:space="preserve">  The Portfolio Holder will be updated if </w:t>
      </w:r>
      <w:r w:rsidR="0059410A">
        <w:rPr>
          <w:b w:val="0"/>
        </w:rPr>
        <w:t>further advice is forthcoming</w:t>
      </w:r>
      <w:r>
        <w:rPr>
          <w:b w:val="0"/>
        </w:rPr>
        <w:t xml:space="preserve">  </w:t>
      </w:r>
    </w:p>
    <w:p w14:paraId="52058D45" w14:textId="77777777" w:rsidR="00C76E72" w:rsidRDefault="00C76E72" w:rsidP="00C84140">
      <w:pPr>
        <w:pStyle w:val="Heading4"/>
        <w:rPr>
          <w:b w:val="0"/>
        </w:rPr>
      </w:pPr>
    </w:p>
    <w:p w14:paraId="032CCE72" w14:textId="77777777" w:rsidR="00A71F05" w:rsidRDefault="00A71F05" w:rsidP="00575242">
      <w:pPr>
        <w:pStyle w:val="Heading3"/>
      </w:pPr>
      <w:r>
        <w:t>Financial Implications</w:t>
      </w:r>
    </w:p>
    <w:p w14:paraId="398E0845" w14:textId="5F2AAB12" w:rsidR="006517E0" w:rsidRDefault="006517E0" w:rsidP="006517E0">
      <w:r>
        <w:t>The total legal costs of all the parties in bringing and defending this claim are likely to be approx. £400,000 (under review).  This includes the estimated legal costs incurred by Harrow Council, and other Councils if a join challenge, and those of the Mayor of London/TFL i</w:t>
      </w:r>
      <w:r w:rsidR="001762C7">
        <w:t>f</w:t>
      </w:r>
      <w:r>
        <w:t xml:space="preserve"> the challenge is not successful. The full costs will be borne by Harrow if submitted as an independent challenge or shared with other authorities if it is a joint action. </w:t>
      </w:r>
    </w:p>
    <w:p w14:paraId="18E00ABF" w14:textId="77777777" w:rsidR="006517E0" w:rsidRDefault="006517E0" w:rsidP="006517E0"/>
    <w:p w14:paraId="66090665" w14:textId="5B278422" w:rsidR="006517E0" w:rsidRDefault="006517E0" w:rsidP="006517E0">
      <w:r>
        <w:t>The normal rule for costs in legal proceedings is that the unsuccessful party pays the successful party’s costs.  I</w:t>
      </w:r>
      <w:r w:rsidR="001310A3">
        <w:t>f</w:t>
      </w:r>
      <w:r>
        <w:t xml:space="preserve"> Harrow’s challenge is successful therefor</w:t>
      </w:r>
      <w:r w:rsidR="001310A3">
        <w:t>e</w:t>
      </w:r>
      <w:r>
        <w:t>, most of its legal costs will be reimbursed by the Mayor of London/TfL.</w:t>
      </w:r>
    </w:p>
    <w:p w14:paraId="034735B3" w14:textId="77777777" w:rsidR="006517E0" w:rsidRDefault="006517E0" w:rsidP="006517E0"/>
    <w:p w14:paraId="5DE3C1CF" w14:textId="77777777" w:rsidR="006517E0" w:rsidRDefault="006517E0" w:rsidP="006517E0">
      <w:r>
        <w:t xml:space="preserve">Conversely if the challenge fails, Harrow will have to pay its share (determined by the number of Councils which join the challenge) of        </w:t>
      </w:r>
    </w:p>
    <w:p w14:paraId="058EFB5F" w14:textId="77777777" w:rsidR="006517E0" w:rsidRDefault="006517E0" w:rsidP="006517E0">
      <w:r>
        <w:t>the Mayor of London/TfL’s legal costs.</w:t>
      </w:r>
    </w:p>
    <w:p w14:paraId="594E1578" w14:textId="77777777" w:rsidR="006517E0" w:rsidRDefault="006517E0" w:rsidP="006517E0"/>
    <w:p w14:paraId="239A9202" w14:textId="77777777" w:rsidR="006517E0" w:rsidRDefault="006517E0" w:rsidP="006517E0">
      <w:pPr>
        <w:rPr>
          <w:rFonts w:cs="Arial"/>
        </w:rPr>
      </w:pPr>
      <w:r>
        <w:rPr>
          <w:rFonts w:cs="Arial"/>
        </w:rPr>
        <w:t xml:space="preserve">There is no provision in the budget / MTFS to cover such a cost if it materialises. </w:t>
      </w:r>
    </w:p>
    <w:p w14:paraId="7BE02267" w14:textId="77777777" w:rsidR="006517E0" w:rsidRDefault="006517E0" w:rsidP="006517E0">
      <w:pPr>
        <w:rPr>
          <w:rFonts w:cs="Arial"/>
        </w:rPr>
      </w:pPr>
    </w:p>
    <w:p w14:paraId="6094B4CA" w14:textId="7CE4E36B" w:rsidR="006517E0" w:rsidRDefault="006517E0" w:rsidP="006517E0">
      <w:pPr>
        <w:rPr>
          <w:rFonts w:cs="Arial"/>
        </w:rPr>
      </w:pPr>
      <w:r>
        <w:rPr>
          <w:rFonts w:cs="Arial"/>
        </w:rPr>
        <w:t xml:space="preserve">This report concentrates on the implications of the legal challenge.  If the ULEZ </w:t>
      </w:r>
      <w:r w:rsidR="00C82B7E">
        <w:rPr>
          <w:rFonts w:cs="Arial"/>
        </w:rPr>
        <w:t xml:space="preserve">is </w:t>
      </w:r>
      <w:r>
        <w:rPr>
          <w:rFonts w:cs="Arial"/>
        </w:rPr>
        <w:t xml:space="preserve">extended to the Borough </w:t>
      </w:r>
      <w:r w:rsidR="00C82B7E">
        <w:rPr>
          <w:rFonts w:cs="Arial"/>
        </w:rPr>
        <w:t xml:space="preserve">as planned </w:t>
      </w:r>
      <w:r>
        <w:rPr>
          <w:rFonts w:cs="Arial"/>
        </w:rPr>
        <w:t xml:space="preserve">there would be cost implications for the Council, including costs for the Council’s fleet and workforce visiting service users etc. Such implications are being worked up and considered by Officers. </w:t>
      </w:r>
    </w:p>
    <w:p w14:paraId="3B1BDE3C" w14:textId="77777777" w:rsidR="002B3635" w:rsidRPr="00EC6FE9" w:rsidRDefault="002B3635" w:rsidP="002B3635">
      <w:pPr>
        <w:pStyle w:val="StyleHeading4Before12pt"/>
        <w:spacing w:before="480"/>
      </w:pPr>
      <w:r w:rsidRPr="00EC6FE9">
        <w:t>Council Priorities</w:t>
      </w:r>
    </w:p>
    <w:p w14:paraId="37296DFA" w14:textId="77777777" w:rsidR="002B3635" w:rsidRDefault="002B3635" w:rsidP="002B3635">
      <w:pPr>
        <w:rPr>
          <w:rFonts w:cs="Arial"/>
          <w:szCs w:val="24"/>
          <w:lang w:val="en-US"/>
        </w:rPr>
      </w:pPr>
    </w:p>
    <w:p w14:paraId="4B6CE2EA" w14:textId="77777777" w:rsidR="002B3635" w:rsidRDefault="002B3635" w:rsidP="002B3635">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this </w:t>
      </w:r>
      <w:r w:rsidRPr="00CD57D8">
        <w:rPr>
          <w:rFonts w:cs="Arial"/>
          <w:szCs w:val="24"/>
          <w:lang w:val="en-US"/>
        </w:rPr>
        <w:t>priorit</w:t>
      </w:r>
      <w:r>
        <w:rPr>
          <w:rFonts w:cs="Arial"/>
          <w:szCs w:val="24"/>
          <w:lang w:val="en-US"/>
        </w:rPr>
        <w:t>y</w:t>
      </w:r>
      <w:r w:rsidRPr="00CD57D8">
        <w:rPr>
          <w:rFonts w:cs="Arial"/>
          <w:szCs w:val="24"/>
          <w:lang w:val="en-US"/>
        </w:rPr>
        <w:t xml:space="preserve">. </w:t>
      </w:r>
    </w:p>
    <w:p w14:paraId="2B4A15B5" w14:textId="77777777" w:rsidR="002B3635" w:rsidRPr="00CD57D8" w:rsidRDefault="002B3635" w:rsidP="002B3635">
      <w:pPr>
        <w:rPr>
          <w:rFonts w:cs="Arial"/>
          <w:szCs w:val="24"/>
          <w:lang w:val="en-US"/>
        </w:rPr>
      </w:pPr>
    </w:p>
    <w:p w14:paraId="542F8D68" w14:textId="77777777" w:rsidR="002B3635" w:rsidRDefault="002B3635" w:rsidP="002B3635">
      <w:pPr>
        <w:pStyle w:val="StyleListParagraphBold"/>
        <w:numPr>
          <w:ilvl w:val="0"/>
          <w:numId w:val="35"/>
        </w:numPr>
        <w:rPr>
          <w:lang w:eastAsia="en-US"/>
        </w:rPr>
      </w:pPr>
      <w:r w:rsidRPr="00752110">
        <w:t>A council that puts residents first</w:t>
      </w:r>
    </w:p>
    <w:p w14:paraId="3F50A1A7" w14:textId="77777777" w:rsidR="002B3635" w:rsidRPr="00752110" w:rsidRDefault="002B3635" w:rsidP="002B3635">
      <w:pPr>
        <w:pStyle w:val="StyleListParagraphBold"/>
        <w:rPr>
          <w:lang w:eastAsia="en-US"/>
        </w:rPr>
      </w:pPr>
    </w:p>
    <w:p w14:paraId="1E9B447B" w14:textId="77777777" w:rsidR="00A71F05" w:rsidRDefault="00A71F05" w:rsidP="00575242">
      <w:pPr>
        <w:pStyle w:val="Heading2"/>
      </w:pPr>
      <w:r>
        <w:t>Section 3 - Statutory Officer Clearance</w:t>
      </w:r>
    </w:p>
    <w:p w14:paraId="7A11CE7C" w14:textId="37D1B69C" w:rsidR="00575242" w:rsidRPr="00A66326" w:rsidRDefault="00575242" w:rsidP="00575242">
      <w:pPr>
        <w:spacing w:before="240"/>
        <w:rPr>
          <w:sz w:val="28"/>
        </w:rPr>
      </w:pPr>
      <w:r w:rsidRPr="00A66326">
        <w:rPr>
          <w:b/>
          <w:sz w:val="28"/>
        </w:rPr>
        <w:t xml:space="preserve">Statutory Officer:  </w:t>
      </w:r>
      <w:r w:rsidR="00CB760D">
        <w:rPr>
          <w:b/>
          <w:sz w:val="28"/>
        </w:rPr>
        <w:t>Dawn Calvert</w:t>
      </w:r>
    </w:p>
    <w:p w14:paraId="182B68EE" w14:textId="3619BDAD" w:rsidR="00575242" w:rsidRPr="00A66326" w:rsidRDefault="00575242" w:rsidP="00575242">
      <w:r w:rsidRPr="00A66326">
        <w:t>Signed by the Chief Financial Officer</w:t>
      </w:r>
    </w:p>
    <w:p w14:paraId="48532F83" w14:textId="77777777" w:rsidR="00575242" w:rsidRPr="00A66326" w:rsidRDefault="00575242" w:rsidP="00575242">
      <w:pPr>
        <w:rPr>
          <w:sz w:val="28"/>
        </w:rPr>
      </w:pPr>
    </w:p>
    <w:p w14:paraId="3A529D91" w14:textId="5FEDB0AA" w:rsidR="00575242" w:rsidRPr="00A66326" w:rsidRDefault="00575242" w:rsidP="00575242">
      <w:pPr>
        <w:spacing w:after="480"/>
        <w:rPr>
          <w:sz w:val="28"/>
        </w:rPr>
      </w:pPr>
      <w:r w:rsidRPr="00A66326">
        <w:rPr>
          <w:b/>
          <w:sz w:val="28"/>
        </w:rPr>
        <w:t xml:space="preserve">Date:  </w:t>
      </w:r>
      <w:r w:rsidR="00CB760D">
        <w:rPr>
          <w:b/>
          <w:sz w:val="28"/>
        </w:rPr>
        <w:t>31 January 2022</w:t>
      </w:r>
    </w:p>
    <w:p w14:paraId="0E738983" w14:textId="77C21484" w:rsidR="00575242" w:rsidRPr="00A66326" w:rsidRDefault="00575242" w:rsidP="00575242">
      <w:pPr>
        <w:rPr>
          <w:sz w:val="28"/>
        </w:rPr>
      </w:pPr>
      <w:r w:rsidRPr="00A66326">
        <w:rPr>
          <w:b/>
          <w:sz w:val="28"/>
        </w:rPr>
        <w:t xml:space="preserve">Statutory Officer:  </w:t>
      </w:r>
      <w:r w:rsidR="00CB760D">
        <w:rPr>
          <w:b/>
          <w:sz w:val="28"/>
        </w:rPr>
        <w:t>Hugh Peart</w:t>
      </w:r>
    </w:p>
    <w:p w14:paraId="016F2529" w14:textId="6AB165E2" w:rsidR="00575242" w:rsidRPr="00A66326" w:rsidRDefault="00575242" w:rsidP="00575242">
      <w:r w:rsidRPr="00A66326">
        <w:t>Signed by the Monitoring Officer</w:t>
      </w:r>
    </w:p>
    <w:p w14:paraId="04B2C90B" w14:textId="77777777" w:rsidR="00575242" w:rsidRPr="00A66326" w:rsidRDefault="00575242" w:rsidP="00575242">
      <w:pPr>
        <w:rPr>
          <w:sz w:val="28"/>
        </w:rPr>
      </w:pPr>
    </w:p>
    <w:p w14:paraId="59D76F71" w14:textId="53E18D76" w:rsidR="00575242" w:rsidRPr="003313EA" w:rsidRDefault="00575242" w:rsidP="00575242">
      <w:pPr>
        <w:spacing w:after="480"/>
        <w:rPr>
          <w:sz w:val="28"/>
        </w:rPr>
      </w:pPr>
      <w:r w:rsidRPr="00A66326">
        <w:rPr>
          <w:b/>
          <w:sz w:val="28"/>
        </w:rPr>
        <w:t xml:space="preserve">Date:  </w:t>
      </w:r>
      <w:r w:rsidR="00CB760D">
        <w:rPr>
          <w:b/>
          <w:sz w:val="28"/>
        </w:rPr>
        <w:t>31 January 2023</w:t>
      </w:r>
    </w:p>
    <w:p w14:paraId="38DB2C56" w14:textId="77777777" w:rsidR="00575242" w:rsidRPr="007116B1" w:rsidRDefault="00575242" w:rsidP="00575242">
      <w:pPr>
        <w:pStyle w:val="Heading2"/>
        <w:rPr>
          <w:color w:val="FF0000"/>
        </w:rPr>
      </w:pPr>
      <w:r w:rsidRPr="007116B1">
        <w:t>Section 3 - Procurement Officer Clearance</w:t>
      </w:r>
      <w:r>
        <w:rPr>
          <w:color w:val="FF0000"/>
        </w:rPr>
        <w:t xml:space="preserve"> </w:t>
      </w:r>
    </w:p>
    <w:p w14:paraId="4B40BF26" w14:textId="77777777" w:rsidR="00575242" w:rsidRPr="003313EA" w:rsidRDefault="009B4288" w:rsidP="00575242">
      <w:pPr>
        <w:rPr>
          <w:sz w:val="28"/>
        </w:rPr>
      </w:pPr>
      <w:r>
        <w:rPr>
          <w:b/>
          <w:sz w:val="28"/>
        </w:rPr>
        <w:t>Head of Procurement</w:t>
      </w:r>
      <w:r w:rsidR="00575242" w:rsidRPr="00A66326">
        <w:rPr>
          <w:b/>
          <w:sz w:val="28"/>
        </w:rPr>
        <w:t xml:space="preserve">:  </w:t>
      </w:r>
    </w:p>
    <w:p w14:paraId="0DF201D4" w14:textId="2E189779" w:rsidR="00575242" w:rsidRDefault="00575242" w:rsidP="00575242">
      <w:r w:rsidRPr="003313EA">
        <w:t>Signed</w:t>
      </w:r>
      <w:r w:rsidR="005D3232">
        <w:t xml:space="preserve"> </w:t>
      </w:r>
      <w:r w:rsidRPr="003313EA">
        <w:t>by the Head of Procurement</w:t>
      </w:r>
    </w:p>
    <w:p w14:paraId="5E860664" w14:textId="766A9131" w:rsidR="005D3232" w:rsidRPr="003313EA" w:rsidRDefault="005D3232" w:rsidP="00575242">
      <w:r>
        <w:t>Nimesh Mehta</w:t>
      </w:r>
    </w:p>
    <w:p w14:paraId="727DA16E" w14:textId="77777777" w:rsidR="00575242" w:rsidRPr="00A66326" w:rsidRDefault="00575242" w:rsidP="00575242">
      <w:pPr>
        <w:rPr>
          <w:sz w:val="28"/>
        </w:rPr>
      </w:pPr>
    </w:p>
    <w:p w14:paraId="58A700BB" w14:textId="0EFCC1A2" w:rsidR="00575242" w:rsidRDefault="00575242" w:rsidP="00575242">
      <w:pPr>
        <w:spacing w:after="480"/>
        <w:rPr>
          <w:b/>
          <w:szCs w:val="24"/>
        </w:rPr>
      </w:pPr>
      <w:r w:rsidRPr="00E101E4">
        <w:rPr>
          <w:b/>
          <w:szCs w:val="24"/>
        </w:rPr>
        <w:t xml:space="preserve">Date:  </w:t>
      </w:r>
      <w:r w:rsidR="00C15B06" w:rsidRPr="00E101E4">
        <w:rPr>
          <w:b/>
          <w:szCs w:val="24"/>
        </w:rPr>
        <w:t>25</w:t>
      </w:r>
      <w:r w:rsidR="00C15B06" w:rsidRPr="00E101E4">
        <w:rPr>
          <w:b/>
          <w:szCs w:val="24"/>
          <w:vertAlign w:val="superscript"/>
        </w:rPr>
        <w:t>th</w:t>
      </w:r>
      <w:r w:rsidR="00C15B06" w:rsidRPr="00E101E4">
        <w:rPr>
          <w:b/>
          <w:szCs w:val="24"/>
        </w:rPr>
        <w:t xml:space="preserve"> January 2023</w:t>
      </w:r>
    </w:p>
    <w:p w14:paraId="119D2E8F" w14:textId="77777777" w:rsidR="00CB760D" w:rsidRPr="00E101E4" w:rsidRDefault="00CB760D" w:rsidP="00575242">
      <w:pPr>
        <w:spacing w:after="480"/>
        <w:rPr>
          <w:szCs w:val="24"/>
        </w:rPr>
      </w:pPr>
    </w:p>
    <w:p w14:paraId="10F6E8B0" w14:textId="12026BDD" w:rsidR="00575242" w:rsidRDefault="00575242" w:rsidP="00575242">
      <w:pPr>
        <w:pStyle w:val="Heading2"/>
      </w:pPr>
      <w:r>
        <w:t xml:space="preserve">Section </w:t>
      </w:r>
      <w:r w:rsidR="00E101E4">
        <w:t>3</w:t>
      </w:r>
      <w:r>
        <w:t xml:space="preserve"> - Contact Details and Background Papers</w:t>
      </w:r>
    </w:p>
    <w:p w14:paraId="4A2B28FF" w14:textId="262C4C3A" w:rsidR="0068050E" w:rsidRPr="00201772" w:rsidRDefault="00575242" w:rsidP="00702AD2">
      <w:pPr>
        <w:pStyle w:val="Infotext"/>
        <w:spacing w:after="240"/>
        <w:rPr>
          <w:color w:val="FF0000"/>
          <w:sz w:val="24"/>
          <w:szCs w:val="24"/>
        </w:rPr>
      </w:pPr>
      <w:r w:rsidRPr="00201772">
        <w:rPr>
          <w:b/>
          <w:sz w:val="24"/>
          <w:szCs w:val="24"/>
        </w:rPr>
        <w:t xml:space="preserve">Contact:  </w:t>
      </w:r>
      <w:r w:rsidR="00201772" w:rsidRPr="00201772">
        <w:rPr>
          <w:b/>
          <w:sz w:val="24"/>
          <w:szCs w:val="24"/>
        </w:rPr>
        <w:t>Hugh Peart</w:t>
      </w:r>
    </w:p>
    <w:p w14:paraId="33AD1131" w14:textId="77777777" w:rsidR="00575242" w:rsidRDefault="00575242" w:rsidP="00575242">
      <w:pPr>
        <w:spacing w:before="240"/>
        <w:rPr>
          <w:rFonts w:cs="Arial"/>
        </w:rPr>
      </w:pPr>
      <w:r>
        <w:rPr>
          <w:rFonts w:cs="Arial"/>
        </w:rPr>
        <w:t>Signature:</w:t>
      </w:r>
      <w:r w:rsidR="00872E2C">
        <w:rPr>
          <w:rFonts w:cs="Arial"/>
        </w:rPr>
        <w:t xml:space="preserve">  </w:t>
      </w:r>
      <w:r>
        <w:rPr>
          <w:rFonts w:cs="Arial"/>
        </w:rPr>
        <w:t>………………………………………………………………………</w:t>
      </w:r>
    </w:p>
    <w:p w14:paraId="117947A4" w14:textId="77777777" w:rsidR="00575242" w:rsidRDefault="00575242" w:rsidP="00E436A9">
      <w:pPr>
        <w:rPr>
          <w:rFonts w:cs="Arial"/>
        </w:rPr>
      </w:pPr>
    </w:p>
    <w:p w14:paraId="41A3566D" w14:textId="03421D53" w:rsidR="00575242" w:rsidRDefault="00E101E4" w:rsidP="00E101E4">
      <w:pPr>
        <w:tabs>
          <w:tab w:val="left" w:pos="1897"/>
        </w:tabs>
        <w:rPr>
          <w:rFonts w:cs="Arial"/>
        </w:rPr>
      </w:pPr>
      <w:r>
        <w:rPr>
          <w:rFonts w:cs="Arial"/>
        </w:rPr>
        <w:t xml:space="preserve">Director of Legal &amp; Governance Services </w:t>
      </w:r>
      <w:r w:rsidR="00575242">
        <w:t xml:space="preserve"> </w:t>
      </w:r>
    </w:p>
    <w:p w14:paraId="323776BB" w14:textId="77777777" w:rsidR="00575242" w:rsidRDefault="00575242" w:rsidP="00E436A9">
      <w:pPr>
        <w:rPr>
          <w:rFonts w:cs="Arial"/>
        </w:rPr>
      </w:pPr>
    </w:p>
    <w:p w14:paraId="14D2A353" w14:textId="06B42345" w:rsidR="00575242" w:rsidRDefault="00575242" w:rsidP="00872E2C">
      <w:pPr>
        <w:rPr>
          <w:rFonts w:cs="Arial"/>
        </w:rPr>
      </w:pPr>
      <w:r>
        <w:rPr>
          <w:rFonts w:cs="Arial"/>
        </w:rPr>
        <w:t>Date:</w:t>
      </w:r>
      <w:r w:rsidR="00E101E4">
        <w:rPr>
          <w:rFonts w:cs="Arial"/>
        </w:rPr>
        <w:t xml:space="preserve"> </w:t>
      </w:r>
      <w:r w:rsidR="00CB760D">
        <w:rPr>
          <w:rFonts w:cs="Arial"/>
        </w:rPr>
        <w:t xml:space="preserve">1 </w:t>
      </w:r>
      <w:r w:rsidR="00E101E4">
        <w:rPr>
          <w:rFonts w:cs="Arial"/>
        </w:rPr>
        <w:t>February 2023</w:t>
      </w:r>
    </w:p>
    <w:p w14:paraId="6FD07440" w14:textId="77777777" w:rsidR="00ED16C0" w:rsidRDefault="00ED16C0" w:rsidP="00872E2C">
      <w:pPr>
        <w:pStyle w:val="Heading2"/>
      </w:pPr>
      <w:r>
        <w:t>For Leader</w:t>
      </w:r>
    </w:p>
    <w:p w14:paraId="2B08B7EF" w14:textId="77777777" w:rsidR="00872E2C" w:rsidRDefault="00872E2C" w:rsidP="00AD3194">
      <w:pPr>
        <w:rPr>
          <w:rFonts w:cs="Arial"/>
        </w:rPr>
      </w:pPr>
      <w:r>
        <w:rPr>
          <w:rFonts w:cs="Arial"/>
        </w:rPr>
        <w:t>* I do agree to the decision proposed</w:t>
      </w:r>
    </w:p>
    <w:p w14:paraId="088508E5" w14:textId="77777777" w:rsidR="00872E2C" w:rsidRDefault="00872E2C" w:rsidP="00872E2C">
      <w:pPr>
        <w:spacing w:before="480"/>
        <w:rPr>
          <w:rFonts w:cs="Arial"/>
        </w:rPr>
      </w:pPr>
      <w:r>
        <w:rPr>
          <w:rFonts w:cs="Arial"/>
        </w:rPr>
        <w:t>* I do not agree to the decision proposed</w:t>
      </w:r>
    </w:p>
    <w:p w14:paraId="72B2EE17" w14:textId="77777777" w:rsidR="00872E2C" w:rsidRPr="00872E2C" w:rsidRDefault="00872E2C" w:rsidP="00872E2C">
      <w:pPr>
        <w:spacing w:before="480"/>
        <w:rPr>
          <w:rFonts w:cs="Arial"/>
          <w:i/>
        </w:rPr>
      </w:pPr>
      <w:r w:rsidRPr="00315EC9">
        <w:rPr>
          <w:rFonts w:cs="Arial"/>
          <w:i/>
        </w:rPr>
        <w:t xml:space="preserve">* Please </w:t>
      </w:r>
      <w:r w:rsidRPr="00872E2C">
        <w:rPr>
          <w:rFonts w:cs="Arial"/>
        </w:rPr>
        <w:t>delete</w:t>
      </w:r>
      <w:r w:rsidRPr="00315EC9">
        <w:rPr>
          <w:rFonts w:cs="Arial"/>
          <w:i/>
        </w:rPr>
        <w:t xml:space="preserve"> as appropriate</w:t>
      </w:r>
    </w:p>
    <w:p w14:paraId="5564CB56" w14:textId="77777777" w:rsidR="00872E2C" w:rsidRDefault="00872E2C" w:rsidP="00872E2C">
      <w:pPr>
        <w:spacing w:before="480"/>
        <w:rPr>
          <w:rFonts w:cs="Arial"/>
        </w:rPr>
      </w:pPr>
      <w:r w:rsidRPr="00A90B97">
        <w:rPr>
          <w:rFonts w:cs="Arial"/>
        </w:rPr>
        <w:t xml:space="preserve">Notification of </w:t>
      </w:r>
      <w:r>
        <w:rPr>
          <w:rFonts w:cs="Arial"/>
        </w:rPr>
        <w:t xml:space="preserve">disclosable non-pecuniary and </w:t>
      </w:r>
      <w:r w:rsidRPr="00872E2C">
        <w:rPr>
          <w:rFonts w:cs="Arial"/>
          <w:i/>
        </w:rPr>
        <w:t>pecuniary</w:t>
      </w:r>
      <w:r w:rsidRPr="00A90B97">
        <w:rPr>
          <w:rFonts w:cs="Arial"/>
        </w:rPr>
        <w:t xml:space="preserve"> interests (if any):</w:t>
      </w:r>
    </w:p>
    <w:p w14:paraId="16D97A23" w14:textId="77777777" w:rsidR="00872E2C" w:rsidRPr="00A90B97" w:rsidRDefault="00872E2C" w:rsidP="00872E2C">
      <w:pPr>
        <w:spacing w:before="480"/>
        <w:rPr>
          <w:rFonts w:cs="Arial"/>
        </w:rPr>
      </w:pPr>
      <w:r>
        <w:rPr>
          <w:rFonts w:cs="Arial"/>
        </w:rPr>
        <w:t xml:space="preserve">[Should you have a </w:t>
      </w:r>
      <w:r w:rsidRPr="00872E2C">
        <w:rPr>
          <w:rFonts w:cs="Arial"/>
          <w:i/>
        </w:rPr>
        <w:t>disclosable</w:t>
      </w:r>
      <w:r>
        <w:rPr>
          <w:rFonts w:cs="Arial"/>
        </w:rPr>
        <w:t xml:space="preserve"> pecuniary interest, you should not take this decision.]</w:t>
      </w:r>
    </w:p>
    <w:p w14:paraId="302F46AA" w14:textId="2284A4FA" w:rsidR="00872E2C" w:rsidRDefault="00872E2C" w:rsidP="00872E2C">
      <w:pPr>
        <w:tabs>
          <w:tab w:val="left" w:pos="1260"/>
        </w:tabs>
        <w:spacing w:before="240"/>
        <w:rPr>
          <w:rFonts w:cs="Arial"/>
        </w:rPr>
      </w:pPr>
      <w:r>
        <w:rPr>
          <w:rFonts w:cs="Arial"/>
        </w:rPr>
        <w:t xml:space="preserve">Additional comments made by and/or options considered </w:t>
      </w:r>
    </w:p>
    <w:p w14:paraId="20B6B935" w14:textId="77777777" w:rsidR="00872E2C" w:rsidRDefault="00872E2C" w:rsidP="00872E2C">
      <w:pPr>
        <w:spacing w:before="480"/>
        <w:rPr>
          <w:rFonts w:cs="Arial"/>
        </w:rPr>
      </w:pPr>
      <w:r>
        <w:rPr>
          <w:rFonts w:cs="Arial"/>
        </w:rPr>
        <w:t>Signature:  …………………………………………………………………………</w:t>
      </w:r>
    </w:p>
    <w:p w14:paraId="1CEBEABE" w14:textId="77777777" w:rsidR="00872E2C" w:rsidRDefault="00872E2C" w:rsidP="00872E2C">
      <w:pPr>
        <w:tabs>
          <w:tab w:val="left" w:pos="1080"/>
        </w:tabs>
        <w:spacing w:after="240"/>
        <w:rPr>
          <w:rFonts w:cs="Arial"/>
          <w:iCs/>
        </w:rPr>
      </w:pPr>
      <w:r>
        <w:rPr>
          <w:rFonts w:cs="Arial"/>
          <w:iCs/>
        </w:rPr>
        <w:tab/>
        <w:t>Leader</w:t>
      </w:r>
    </w:p>
    <w:p w14:paraId="21992F40" w14:textId="77777777" w:rsidR="00ED16C0" w:rsidRDefault="00872E2C" w:rsidP="00872E2C">
      <w:pPr>
        <w:spacing w:after="480"/>
      </w:pPr>
      <w:r>
        <w:rPr>
          <w:rFonts w:cs="Arial"/>
        </w:rPr>
        <w:t>Date:  ……………………………………………………</w:t>
      </w:r>
    </w:p>
    <w:p w14:paraId="0CB674E2" w14:textId="77777777" w:rsidR="00872E2C" w:rsidRPr="007C0DC3" w:rsidRDefault="00872E2C" w:rsidP="00872E2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EFA4621" w14:textId="0C43866E" w:rsidR="00872E2C" w:rsidRDefault="00872E2C" w:rsidP="00872E2C">
      <w:pPr>
        <w:pStyle w:val="Infotext"/>
        <w:spacing w:before="240"/>
        <w:rPr>
          <w:b/>
        </w:rPr>
      </w:pPr>
      <w:r w:rsidRPr="003D78F6">
        <w:rPr>
          <w:b/>
        </w:rPr>
        <w:t>YES</w:t>
      </w:r>
    </w:p>
    <w:p w14:paraId="1588E35C" w14:textId="644E6379" w:rsidR="00E81F1E" w:rsidRPr="00E81F1E" w:rsidRDefault="00E81F1E" w:rsidP="00872E2C">
      <w:pPr>
        <w:pStyle w:val="Infotext"/>
        <w:spacing w:before="240"/>
        <w:rPr>
          <w:bCs/>
        </w:rPr>
      </w:pPr>
      <w:r w:rsidRPr="00E81F1E">
        <w:rPr>
          <w:bCs/>
        </w:rPr>
        <w:t xml:space="preserve">If legal proceedings are to be issued, </w:t>
      </w:r>
      <w:r>
        <w:rPr>
          <w:bCs/>
        </w:rPr>
        <w:t>LB Hillingdon, who are liaising with other affected Boroughs, have requested confirmation of Harrow’s intentions by 2</w:t>
      </w:r>
      <w:r w:rsidRPr="00E81F1E">
        <w:rPr>
          <w:bCs/>
          <w:vertAlign w:val="superscript"/>
        </w:rPr>
        <w:t>nd</w:t>
      </w:r>
      <w:r>
        <w:rPr>
          <w:bCs/>
        </w:rPr>
        <w:t xml:space="preserve"> February 2023.</w:t>
      </w:r>
    </w:p>
    <w:sectPr w:rsidR="00E81F1E" w:rsidRPr="00E81F1E" w:rsidSect="00596DDC">
      <w:headerReference w:type="default" r:id="rId13"/>
      <w:footerReference w:type="default" r:id="rId14"/>
      <w:type w:val="continuous"/>
      <w:pgSz w:w="11909" w:h="16834" w:code="9"/>
      <w:pgMar w:top="864" w:right="1800" w:bottom="1440" w:left="180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5E5" w14:textId="77777777" w:rsidR="00F31D29" w:rsidRDefault="00F31D29">
      <w:r>
        <w:separator/>
      </w:r>
    </w:p>
  </w:endnote>
  <w:endnote w:type="continuationSeparator" w:id="0">
    <w:p w14:paraId="518C3C89" w14:textId="77777777" w:rsidR="00F31D29" w:rsidRDefault="00F3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E731" w14:textId="77777777" w:rsidR="00391410" w:rsidRDefault="00391410" w:rsidP="00D4290D">
    <w:pPr>
      <w:pStyle w:val="Footer"/>
      <w:framePr w:wrap="around" w:vAnchor="text" w:hAnchor="margin" w:xAlign="right" w:y="1"/>
      <w:rPr>
        <w:rStyle w:val="PageNumber"/>
      </w:rPr>
    </w:pPr>
  </w:p>
  <w:p w14:paraId="7EF04360" w14:textId="77777777" w:rsidR="00391410" w:rsidRDefault="00391410" w:rsidP="00A1507D">
    <w:pPr>
      <w:pStyle w:val="Footer"/>
      <w:tabs>
        <w:tab w:val="clear" w:pos="4153"/>
        <w:tab w:val="clear" w:pos="8306"/>
      </w:tabs>
      <w:ind w:right="360"/>
      <w:jc w:val="right"/>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F731" w14:textId="77777777" w:rsidR="00A1507D" w:rsidRDefault="00A1507D" w:rsidP="00A1507D">
    <w:pPr>
      <w:pStyle w:val="Footer"/>
      <w:jc w:val="right"/>
    </w:pPr>
    <w:r>
      <w:rPr>
        <w:rStyle w:val="PageNumber"/>
      </w:rPr>
      <w:fldChar w:fldCharType="begin"/>
    </w:r>
    <w:r>
      <w:rPr>
        <w:rStyle w:val="PageNumber"/>
      </w:rPr>
      <w:instrText xml:space="preserve">PAGE  </w:instrText>
    </w:r>
    <w:r>
      <w:rPr>
        <w:rStyle w:val="PageNumber"/>
      </w:rPr>
      <w:fldChar w:fldCharType="separate"/>
    </w:r>
    <w:r w:rsidR="007F2694">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FB7C" w14:textId="77777777" w:rsidR="00391410" w:rsidRDefault="00391410" w:rsidP="00D42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694">
      <w:rPr>
        <w:rStyle w:val="PageNumber"/>
        <w:noProof/>
      </w:rPr>
      <w:t>5</w:t>
    </w:r>
    <w:r>
      <w:rPr>
        <w:rStyle w:val="PageNumber"/>
      </w:rPr>
      <w:fldChar w:fldCharType="end"/>
    </w:r>
  </w:p>
  <w:p w14:paraId="51879F02" w14:textId="77777777" w:rsidR="00391410" w:rsidRDefault="00391410" w:rsidP="00A1507D">
    <w:pPr>
      <w:pStyle w:val="Footer"/>
      <w:tabs>
        <w:tab w:val="clear" w:pos="4153"/>
        <w:tab w:val="clear" w:pos="8306"/>
      </w:tabs>
      <w:ind w:right="360"/>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BC34" w14:textId="77777777" w:rsidR="00F31D29" w:rsidRDefault="00F31D29">
      <w:r>
        <w:separator/>
      </w:r>
    </w:p>
  </w:footnote>
  <w:footnote w:type="continuationSeparator" w:id="0">
    <w:p w14:paraId="4A65919F" w14:textId="77777777" w:rsidR="00F31D29" w:rsidRDefault="00F3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083F" w14:textId="77777777" w:rsidR="00391410" w:rsidRDefault="0039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B292B"/>
    <w:multiLevelType w:val="hybridMultilevel"/>
    <w:tmpl w:val="2158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B7CB0"/>
    <w:multiLevelType w:val="hybridMultilevel"/>
    <w:tmpl w:val="87D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0"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7A1854"/>
    <w:multiLevelType w:val="hybridMultilevel"/>
    <w:tmpl w:val="E31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138141">
    <w:abstractNumId w:val="14"/>
  </w:num>
  <w:num w:numId="2" w16cid:durableId="629364608">
    <w:abstractNumId w:val="17"/>
  </w:num>
  <w:num w:numId="3" w16cid:durableId="1922064891">
    <w:abstractNumId w:val="22"/>
  </w:num>
  <w:num w:numId="4" w16cid:durableId="198474713">
    <w:abstractNumId w:val="8"/>
  </w:num>
  <w:num w:numId="5" w16cid:durableId="101610658">
    <w:abstractNumId w:val="9"/>
  </w:num>
  <w:num w:numId="6" w16cid:durableId="1149709566">
    <w:abstractNumId w:val="18"/>
  </w:num>
  <w:num w:numId="7" w16cid:durableId="1568611189">
    <w:abstractNumId w:val="32"/>
  </w:num>
  <w:num w:numId="8" w16cid:durableId="304091718">
    <w:abstractNumId w:val="11"/>
  </w:num>
  <w:num w:numId="9" w16cid:durableId="627318795">
    <w:abstractNumId w:val="35"/>
  </w:num>
  <w:num w:numId="10" w16cid:durableId="356469442">
    <w:abstractNumId w:val="31"/>
  </w:num>
  <w:num w:numId="11" w16cid:durableId="814643895">
    <w:abstractNumId w:val="13"/>
  </w:num>
  <w:num w:numId="12" w16cid:durableId="1435395800">
    <w:abstractNumId w:val="2"/>
  </w:num>
  <w:num w:numId="13" w16cid:durableId="1244294143">
    <w:abstractNumId w:val="20"/>
  </w:num>
  <w:num w:numId="14" w16cid:durableId="555510955">
    <w:abstractNumId w:val="21"/>
  </w:num>
  <w:num w:numId="15" w16cid:durableId="109856791">
    <w:abstractNumId w:val="34"/>
  </w:num>
  <w:num w:numId="16" w16cid:durableId="3955146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5453511">
    <w:abstractNumId w:val="16"/>
  </w:num>
  <w:num w:numId="18" w16cid:durableId="1447654557">
    <w:abstractNumId w:val="19"/>
  </w:num>
  <w:num w:numId="19" w16cid:durableId="659888952">
    <w:abstractNumId w:val="1"/>
  </w:num>
  <w:num w:numId="20" w16cid:durableId="851914347">
    <w:abstractNumId w:val="27"/>
  </w:num>
  <w:num w:numId="21" w16cid:durableId="819732279">
    <w:abstractNumId w:val="15"/>
  </w:num>
  <w:num w:numId="22" w16cid:durableId="615991133">
    <w:abstractNumId w:val="7"/>
  </w:num>
  <w:num w:numId="23" w16cid:durableId="804465961">
    <w:abstractNumId w:val="29"/>
  </w:num>
  <w:num w:numId="24" w16cid:durableId="27489747">
    <w:abstractNumId w:val="25"/>
  </w:num>
  <w:num w:numId="25" w16cid:durableId="619385208">
    <w:abstractNumId w:val="26"/>
  </w:num>
  <w:num w:numId="26" w16cid:durableId="1675763344">
    <w:abstractNumId w:val="4"/>
  </w:num>
  <w:num w:numId="27" w16cid:durableId="1857499864">
    <w:abstractNumId w:val="36"/>
  </w:num>
  <w:num w:numId="28" w16cid:durableId="1486821370">
    <w:abstractNumId w:val="5"/>
  </w:num>
  <w:num w:numId="29" w16cid:durableId="1946305253">
    <w:abstractNumId w:val="30"/>
  </w:num>
  <w:num w:numId="30" w16cid:durableId="166210173">
    <w:abstractNumId w:val="37"/>
  </w:num>
  <w:num w:numId="31" w16cid:durableId="1626884006">
    <w:abstractNumId w:val="28"/>
  </w:num>
  <w:num w:numId="32" w16cid:durableId="647906649">
    <w:abstractNumId w:val="3"/>
  </w:num>
  <w:num w:numId="33" w16cid:durableId="1360273615">
    <w:abstractNumId w:val="10"/>
  </w:num>
  <w:num w:numId="34" w16cid:durableId="1692028948">
    <w:abstractNumId w:val="24"/>
  </w:num>
  <w:num w:numId="35" w16cid:durableId="25639737">
    <w:abstractNumId w:val="23"/>
  </w:num>
  <w:num w:numId="36" w16cid:durableId="560285027">
    <w:abstractNumId w:val="12"/>
  </w:num>
  <w:num w:numId="37" w16cid:durableId="1055354493">
    <w:abstractNumId w:val="33"/>
  </w:num>
  <w:num w:numId="38" w16cid:durableId="1326663898">
    <w:abstractNumId w:val="0"/>
  </w:num>
  <w:num w:numId="39" w16cid:durableId="108284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05"/>
    <w:rsid w:val="00004B16"/>
    <w:rsid w:val="000079D8"/>
    <w:rsid w:val="000177C5"/>
    <w:rsid w:val="00032828"/>
    <w:rsid w:val="00044C82"/>
    <w:rsid w:val="0004638F"/>
    <w:rsid w:val="00065843"/>
    <w:rsid w:val="000717A8"/>
    <w:rsid w:val="00080FB3"/>
    <w:rsid w:val="00090D24"/>
    <w:rsid w:val="000928BE"/>
    <w:rsid w:val="00093B96"/>
    <w:rsid w:val="000B2A9D"/>
    <w:rsid w:val="000B769B"/>
    <w:rsid w:val="000B788F"/>
    <w:rsid w:val="000C4A0F"/>
    <w:rsid w:val="000F1F0C"/>
    <w:rsid w:val="00104658"/>
    <w:rsid w:val="001139DE"/>
    <w:rsid w:val="00114AB9"/>
    <w:rsid w:val="0013037E"/>
    <w:rsid w:val="001310A3"/>
    <w:rsid w:val="00131D72"/>
    <w:rsid w:val="00146BAC"/>
    <w:rsid w:val="00162154"/>
    <w:rsid w:val="00164BD8"/>
    <w:rsid w:val="001762C7"/>
    <w:rsid w:val="00181AC2"/>
    <w:rsid w:val="001860D7"/>
    <w:rsid w:val="00192F10"/>
    <w:rsid w:val="001A2651"/>
    <w:rsid w:val="001A47EC"/>
    <w:rsid w:val="001A4C51"/>
    <w:rsid w:val="001B1E4F"/>
    <w:rsid w:val="001C3899"/>
    <w:rsid w:val="001D4052"/>
    <w:rsid w:val="001E347C"/>
    <w:rsid w:val="001E4545"/>
    <w:rsid w:val="00201018"/>
    <w:rsid w:val="00201772"/>
    <w:rsid w:val="002226DA"/>
    <w:rsid w:val="002268CA"/>
    <w:rsid w:val="002302AD"/>
    <w:rsid w:val="00244996"/>
    <w:rsid w:val="00255A9E"/>
    <w:rsid w:val="002562C9"/>
    <w:rsid w:val="00271188"/>
    <w:rsid w:val="00271544"/>
    <w:rsid w:val="00272F91"/>
    <w:rsid w:val="00285351"/>
    <w:rsid w:val="00292811"/>
    <w:rsid w:val="002A0D64"/>
    <w:rsid w:val="002A46A3"/>
    <w:rsid w:val="002B3635"/>
    <w:rsid w:val="002D6239"/>
    <w:rsid w:val="002E3E31"/>
    <w:rsid w:val="002E4761"/>
    <w:rsid w:val="003071AF"/>
    <w:rsid w:val="00314009"/>
    <w:rsid w:val="00314E2E"/>
    <w:rsid w:val="00317586"/>
    <w:rsid w:val="00321450"/>
    <w:rsid w:val="003251DB"/>
    <w:rsid w:val="003417D7"/>
    <w:rsid w:val="00351064"/>
    <w:rsid w:val="00352159"/>
    <w:rsid w:val="003607F0"/>
    <w:rsid w:val="00362E19"/>
    <w:rsid w:val="00364B41"/>
    <w:rsid w:val="00365354"/>
    <w:rsid w:val="003701F1"/>
    <w:rsid w:val="00391410"/>
    <w:rsid w:val="0039143D"/>
    <w:rsid w:val="00396C34"/>
    <w:rsid w:val="003D2FFF"/>
    <w:rsid w:val="003D63BE"/>
    <w:rsid w:val="003E5B10"/>
    <w:rsid w:val="003F11D5"/>
    <w:rsid w:val="003F6F8A"/>
    <w:rsid w:val="00406323"/>
    <w:rsid w:val="00421D58"/>
    <w:rsid w:val="00430278"/>
    <w:rsid w:val="00462341"/>
    <w:rsid w:val="00464064"/>
    <w:rsid w:val="00466327"/>
    <w:rsid w:val="00473049"/>
    <w:rsid w:val="004761E2"/>
    <w:rsid w:val="00476E9F"/>
    <w:rsid w:val="004804F4"/>
    <w:rsid w:val="0049672B"/>
    <w:rsid w:val="004A772F"/>
    <w:rsid w:val="004B448E"/>
    <w:rsid w:val="004D585C"/>
    <w:rsid w:val="004E5F24"/>
    <w:rsid w:val="004F3D5D"/>
    <w:rsid w:val="005052B6"/>
    <w:rsid w:val="00506901"/>
    <w:rsid w:val="005158AE"/>
    <w:rsid w:val="00520B01"/>
    <w:rsid w:val="00526E5E"/>
    <w:rsid w:val="00527283"/>
    <w:rsid w:val="00536D86"/>
    <w:rsid w:val="00540F2C"/>
    <w:rsid w:val="00557AC4"/>
    <w:rsid w:val="00571274"/>
    <w:rsid w:val="005734D4"/>
    <w:rsid w:val="00575242"/>
    <w:rsid w:val="0059410A"/>
    <w:rsid w:val="005966BA"/>
    <w:rsid w:val="00596DDC"/>
    <w:rsid w:val="005A58C7"/>
    <w:rsid w:val="005B1521"/>
    <w:rsid w:val="005C0165"/>
    <w:rsid w:val="005D026E"/>
    <w:rsid w:val="005D3232"/>
    <w:rsid w:val="005F2432"/>
    <w:rsid w:val="005F3A30"/>
    <w:rsid w:val="0060182B"/>
    <w:rsid w:val="00623D27"/>
    <w:rsid w:val="00633EAF"/>
    <w:rsid w:val="00643B98"/>
    <w:rsid w:val="006517E0"/>
    <w:rsid w:val="00672C3E"/>
    <w:rsid w:val="00677CA8"/>
    <w:rsid w:val="0068050E"/>
    <w:rsid w:val="006870EE"/>
    <w:rsid w:val="0068726F"/>
    <w:rsid w:val="006A37B1"/>
    <w:rsid w:val="006B0B79"/>
    <w:rsid w:val="006B538D"/>
    <w:rsid w:val="006C1B24"/>
    <w:rsid w:val="006E05BA"/>
    <w:rsid w:val="006F6839"/>
    <w:rsid w:val="00702AD2"/>
    <w:rsid w:val="00711AF8"/>
    <w:rsid w:val="007210DC"/>
    <w:rsid w:val="00724D96"/>
    <w:rsid w:val="007561C5"/>
    <w:rsid w:val="00757D25"/>
    <w:rsid w:val="00760753"/>
    <w:rsid w:val="007743C9"/>
    <w:rsid w:val="00777259"/>
    <w:rsid w:val="00777CC5"/>
    <w:rsid w:val="007A761E"/>
    <w:rsid w:val="007E282A"/>
    <w:rsid w:val="007E2F45"/>
    <w:rsid w:val="007E4732"/>
    <w:rsid w:val="007F2694"/>
    <w:rsid w:val="007F794A"/>
    <w:rsid w:val="00825674"/>
    <w:rsid w:val="0084000B"/>
    <w:rsid w:val="0084204B"/>
    <w:rsid w:val="008429ED"/>
    <w:rsid w:val="00872E2C"/>
    <w:rsid w:val="0087542D"/>
    <w:rsid w:val="00883A94"/>
    <w:rsid w:val="008B2C80"/>
    <w:rsid w:val="008C1028"/>
    <w:rsid w:val="008D13EF"/>
    <w:rsid w:val="008D5604"/>
    <w:rsid w:val="008D74C4"/>
    <w:rsid w:val="008F43CF"/>
    <w:rsid w:val="008F554D"/>
    <w:rsid w:val="008F7FD1"/>
    <w:rsid w:val="009009BD"/>
    <w:rsid w:val="0091239D"/>
    <w:rsid w:val="009206EE"/>
    <w:rsid w:val="00925445"/>
    <w:rsid w:val="0093063F"/>
    <w:rsid w:val="00931BC3"/>
    <w:rsid w:val="0093624E"/>
    <w:rsid w:val="009375D3"/>
    <w:rsid w:val="00937EC1"/>
    <w:rsid w:val="009404BD"/>
    <w:rsid w:val="00950158"/>
    <w:rsid w:val="009543E2"/>
    <w:rsid w:val="00963CAB"/>
    <w:rsid w:val="00966BC9"/>
    <w:rsid w:val="009811DB"/>
    <w:rsid w:val="00991513"/>
    <w:rsid w:val="00994EF7"/>
    <w:rsid w:val="009A2247"/>
    <w:rsid w:val="009A2434"/>
    <w:rsid w:val="009B160B"/>
    <w:rsid w:val="009B3BD7"/>
    <w:rsid w:val="009B4288"/>
    <w:rsid w:val="009B5F20"/>
    <w:rsid w:val="009C286E"/>
    <w:rsid w:val="009D5369"/>
    <w:rsid w:val="00A07911"/>
    <w:rsid w:val="00A12AF2"/>
    <w:rsid w:val="00A12C2A"/>
    <w:rsid w:val="00A1507D"/>
    <w:rsid w:val="00A351E8"/>
    <w:rsid w:val="00A431CF"/>
    <w:rsid w:val="00A462C8"/>
    <w:rsid w:val="00A563F5"/>
    <w:rsid w:val="00A6606C"/>
    <w:rsid w:val="00A663BE"/>
    <w:rsid w:val="00A71F05"/>
    <w:rsid w:val="00A8716F"/>
    <w:rsid w:val="00A904B7"/>
    <w:rsid w:val="00A96842"/>
    <w:rsid w:val="00AA0B21"/>
    <w:rsid w:val="00AA12C2"/>
    <w:rsid w:val="00AA2CE0"/>
    <w:rsid w:val="00AA4B77"/>
    <w:rsid w:val="00AA6A16"/>
    <w:rsid w:val="00AA7570"/>
    <w:rsid w:val="00AB06F3"/>
    <w:rsid w:val="00AB5F8A"/>
    <w:rsid w:val="00AC1211"/>
    <w:rsid w:val="00AC5B63"/>
    <w:rsid w:val="00AC7CD8"/>
    <w:rsid w:val="00AD3194"/>
    <w:rsid w:val="00AE209D"/>
    <w:rsid w:val="00AF72FE"/>
    <w:rsid w:val="00B10584"/>
    <w:rsid w:val="00B1364E"/>
    <w:rsid w:val="00B36C0C"/>
    <w:rsid w:val="00B428B1"/>
    <w:rsid w:val="00B437FD"/>
    <w:rsid w:val="00B44583"/>
    <w:rsid w:val="00B51108"/>
    <w:rsid w:val="00B52C79"/>
    <w:rsid w:val="00B5468C"/>
    <w:rsid w:val="00B60E49"/>
    <w:rsid w:val="00B61C05"/>
    <w:rsid w:val="00B64B44"/>
    <w:rsid w:val="00B91EC0"/>
    <w:rsid w:val="00B9613C"/>
    <w:rsid w:val="00BA1D14"/>
    <w:rsid w:val="00BB0863"/>
    <w:rsid w:val="00BC4A67"/>
    <w:rsid w:val="00C00490"/>
    <w:rsid w:val="00C03D6E"/>
    <w:rsid w:val="00C05AB5"/>
    <w:rsid w:val="00C06E8E"/>
    <w:rsid w:val="00C077F0"/>
    <w:rsid w:val="00C12C28"/>
    <w:rsid w:val="00C15B06"/>
    <w:rsid w:val="00C16FC8"/>
    <w:rsid w:val="00C310A7"/>
    <w:rsid w:val="00C35FE4"/>
    <w:rsid w:val="00C43188"/>
    <w:rsid w:val="00C44A84"/>
    <w:rsid w:val="00C713F5"/>
    <w:rsid w:val="00C737C8"/>
    <w:rsid w:val="00C76E72"/>
    <w:rsid w:val="00C82B7E"/>
    <w:rsid w:val="00C84140"/>
    <w:rsid w:val="00C900D2"/>
    <w:rsid w:val="00C91526"/>
    <w:rsid w:val="00C932E7"/>
    <w:rsid w:val="00CA1D0F"/>
    <w:rsid w:val="00CB760D"/>
    <w:rsid w:val="00CC5BE2"/>
    <w:rsid w:val="00CC7490"/>
    <w:rsid w:val="00CD15A0"/>
    <w:rsid w:val="00CD634A"/>
    <w:rsid w:val="00CD7F86"/>
    <w:rsid w:val="00CE0044"/>
    <w:rsid w:val="00CE20D2"/>
    <w:rsid w:val="00CE7652"/>
    <w:rsid w:val="00CF0772"/>
    <w:rsid w:val="00CF33A3"/>
    <w:rsid w:val="00CF6B30"/>
    <w:rsid w:val="00D12BFA"/>
    <w:rsid w:val="00D16646"/>
    <w:rsid w:val="00D330DD"/>
    <w:rsid w:val="00D3348C"/>
    <w:rsid w:val="00D33DD0"/>
    <w:rsid w:val="00D4290D"/>
    <w:rsid w:val="00D71E02"/>
    <w:rsid w:val="00D74A2C"/>
    <w:rsid w:val="00D85519"/>
    <w:rsid w:val="00D8582B"/>
    <w:rsid w:val="00D9084B"/>
    <w:rsid w:val="00DB15FB"/>
    <w:rsid w:val="00DC656D"/>
    <w:rsid w:val="00DC6A8C"/>
    <w:rsid w:val="00DF3E99"/>
    <w:rsid w:val="00E03B7E"/>
    <w:rsid w:val="00E101E4"/>
    <w:rsid w:val="00E12B18"/>
    <w:rsid w:val="00E24BC1"/>
    <w:rsid w:val="00E428E5"/>
    <w:rsid w:val="00E436A9"/>
    <w:rsid w:val="00E55DFD"/>
    <w:rsid w:val="00E6763F"/>
    <w:rsid w:val="00E72894"/>
    <w:rsid w:val="00E81AA6"/>
    <w:rsid w:val="00E81F1E"/>
    <w:rsid w:val="00E822FE"/>
    <w:rsid w:val="00E855FC"/>
    <w:rsid w:val="00E921E1"/>
    <w:rsid w:val="00E92D8C"/>
    <w:rsid w:val="00EA0FC2"/>
    <w:rsid w:val="00ED001B"/>
    <w:rsid w:val="00ED16C0"/>
    <w:rsid w:val="00ED7F57"/>
    <w:rsid w:val="00EF0626"/>
    <w:rsid w:val="00F1059D"/>
    <w:rsid w:val="00F31D29"/>
    <w:rsid w:val="00F34442"/>
    <w:rsid w:val="00F962DF"/>
    <w:rsid w:val="00FA6989"/>
    <w:rsid w:val="00FC6B66"/>
    <w:rsid w:val="00FD5F85"/>
    <w:rsid w:val="01B3D95C"/>
    <w:rsid w:val="09510C8F"/>
    <w:rsid w:val="14572F37"/>
    <w:rsid w:val="201F52FF"/>
    <w:rsid w:val="24960E6B"/>
    <w:rsid w:val="2C5DF660"/>
    <w:rsid w:val="2DCDA2ED"/>
    <w:rsid w:val="2E4659F5"/>
    <w:rsid w:val="39B6ECAE"/>
    <w:rsid w:val="3B294AEE"/>
    <w:rsid w:val="4650F303"/>
    <w:rsid w:val="4788034B"/>
    <w:rsid w:val="53A5BE3C"/>
    <w:rsid w:val="6BED4895"/>
    <w:rsid w:val="6FA55618"/>
    <w:rsid w:val="712E65E2"/>
    <w:rsid w:val="7420EE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F288F"/>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F05"/>
    <w:rPr>
      <w:rFonts w:ascii="Arial" w:hAnsi="Arial"/>
      <w:sz w:val="24"/>
      <w:lang w:eastAsia="en-US"/>
    </w:rPr>
  </w:style>
  <w:style w:type="paragraph" w:styleId="Heading1">
    <w:name w:val="heading 1"/>
    <w:basedOn w:val="Heading2"/>
    <w:next w:val="Normal"/>
    <w:qFormat/>
    <w:rsid w:val="002302AD"/>
    <w:pPr>
      <w:spacing w:before="240" w:after="0"/>
      <w:outlineLvl w:val="0"/>
    </w:pPr>
    <w:rPr>
      <w:b w:val="0"/>
      <w:sz w:val="36"/>
    </w:rPr>
  </w:style>
  <w:style w:type="paragraph" w:styleId="Heading2">
    <w:name w:val="heading 2"/>
    <w:basedOn w:val="Normal"/>
    <w:next w:val="Normal"/>
    <w:qFormat/>
    <w:rsid w:val="00A6606C"/>
    <w:pPr>
      <w:spacing w:before="480" w:after="240"/>
      <w:outlineLvl w:val="1"/>
    </w:pPr>
    <w:rPr>
      <w:rFonts w:ascii="Arial Black" w:hAnsi="Arial Black" w:cs="Arial"/>
      <w:b/>
      <w:bCs/>
      <w:sz w:val="32"/>
      <w:szCs w:val="32"/>
    </w:rPr>
  </w:style>
  <w:style w:type="paragraph" w:styleId="Heading3">
    <w:name w:val="heading 3"/>
    <w:basedOn w:val="Normal"/>
    <w:next w:val="Normal"/>
    <w:qFormat/>
    <w:rsid w:val="00192F10"/>
    <w:pPr>
      <w:spacing w:before="240" w:after="240"/>
      <w:jc w:val="both"/>
      <w:outlineLvl w:val="2"/>
    </w:pPr>
    <w:rPr>
      <w:rFonts w:cs="Arial"/>
      <w:b/>
      <w:bCs/>
      <w:sz w:val="28"/>
      <w:szCs w:val="28"/>
    </w:rPr>
  </w:style>
  <w:style w:type="paragraph" w:styleId="Heading4">
    <w:name w:val="heading 4"/>
    <w:basedOn w:val="Normal"/>
    <w:next w:val="Normal"/>
    <w:qFormat/>
    <w:rsid w:val="00A71F05"/>
    <w:pPr>
      <w:keepNext/>
      <w:outlineLvl w:val="3"/>
    </w:pPr>
    <w:rPr>
      <w:rFonts w:cs="Arial"/>
      <w:b/>
    </w:rPr>
  </w:style>
  <w:style w:type="paragraph" w:styleId="Heading8">
    <w:name w:val="heading 8"/>
    <w:basedOn w:val="Normal"/>
    <w:next w:val="Normal"/>
    <w:qFormat/>
    <w:rsid w:val="00A71F0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F05"/>
    <w:pPr>
      <w:tabs>
        <w:tab w:val="center" w:pos="4153"/>
        <w:tab w:val="right" w:pos="8306"/>
      </w:tabs>
    </w:pPr>
    <w:rPr>
      <w:szCs w:val="24"/>
      <w:lang w:val="en-US"/>
    </w:rPr>
  </w:style>
  <w:style w:type="paragraph" w:customStyle="1" w:styleId="Infotext">
    <w:name w:val="Info text"/>
    <w:basedOn w:val="Normal"/>
    <w:rsid w:val="00A71F05"/>
    <w:rPr>
      <w:sz w:val="28"/>
    </w:rPr>
  </w:style>
  <w:style w:type="character" w:styleId="FootnoteReference">
    <w:name w:val="footnote reference"/>
    <w:semiHidden/>
    <w:rsid w:val="00A71F05"/>
    <w:rPr>
      <w:vertAlign w:val="superscript"/>
    </w:rPr>
  </w:style>
  <w:style w:type="paragraph" w:customStyle="1" w:styleId="CharCharCharCharCharCharCharChar">
    <w:name w:val="Char Char Char Char Char Char Char Char"/>
    <w:basedOn w:val="Normal"/>
    <w:rsid w:val="00A71F05"/>
    <w:pPr>
      <w:spacing w:after="160" w:line="240" w:lineRule="exact"/>
    </w:pPr>
    <w:rPr>
      <w:rFonts w:ascii="Tahoma" w:hAnsi="Tahoma"/>
      <w:sz w:val="20"/>
      <w:lang w:eastAsia="en-GB"/>
    </w:rPr>
  </w:style>
  <w:style w:type="character" w:styleId="Hyperlink">
    <w:name w:val="Hyperlink"/>
    <w:rsid w:val="00A71F05"/>
    <w:rPr>
      <w:color w:val="0000FF"/>
      <w:u w:val="single"/>
    </w:rPr>
  </w:style>
  <w:style w:type="character" w:styleId="PageNumber">
    <w:name w:val="page number"/>
    <w:basedOn w:val="DefaultParagraphFont"/>
    <w:rsid w:val="00A71F05"/>
  </w:style>
  <w:style w:type="paragraph" w:styleId="Header">
    <w:name w:val="header"/>
    <w:basedOn w:val="Normal"/>
    <w:rsid w:val="001A47EC"/>
    <w:pPr>
      <w:tabs>
        <w:tab w:val="center" w:pos="4320"/>
        <w:tab w:val="right" w:pos="8640"/>
      </w:tabs>
    </w:pPr>
  </w:style>
  <w:style w:type="paragraph" w:styleId="BalloonText">
    <w:name w:val="Balloon Text"/>
    <w:basedOn w:val="Normal"/>
    <w:semiHidden/>
    <w:rsid w:val="00724D96"/>
    <w:rPr>
      <w:rFonts w:ascii="Tahoma" w:hAnsi="Tahoma" w:cs="Tahoma"/>
      <w:sz w:val="16"/>
      <w:szCs w:val="16"/>
    </w:rPr>
  </w:style>
  <w:style w:type="paragraph" w:customStyle="1" w:styleId="CharCharCharChar2">
    <w:name w:val="Char Char Char Char2"/>
    <w:basedOn w:val="Normal"/>
    <w:locked/>
    <w:rsid w:val="0091239D"/>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BB0863"/>
    <w:pPr>
      <w:spacing w:after="160" w:line="240" w:lineRule="exact"/>
    </w:pPr>
    <w:rPr>
      <w:rFonts w:ascii="Verdana" w:hAnsi="Verdana"/>
      <w:sz w:val="20"/>
      <w:lang w:val="en-US"/>
    </w:rPr>
  </w:style>
  <w:style w:type="paragraph" w:styleId="FootnoteText">
    <w:name w:val="footnote text"/>
    <w:basedOn w:val="Normal"/>
    <w:semiHidden/>
    <w:rsid w:val="009404BD"/>
    <w:rPr>
      <w:rFonts w:ascii="Times New Roman" w:hAnsi="Times New Roman"/>
      <w:sz w:val="20"/>
    </w:rPr>
  </w:style>
  <w:style w:type="paragraph" w:styleId="NormalWeb">
    <w:name w:val="Normal (Web)"/>
    <w:basedOn w:val="Normal"/>
    <w:semiHidden/>
    <w:rsid w:val="009404BD"/>
    <w:pPr>
      <w:spacing w:before="100" w:beforeAutospacing="1" w:after="300"/>
    </w:pPr>
    <w:rPr>
      <w:rFonts w:ascii="Times New Roman" w:eastAsia="Calibri" w:hAnsi="Times New Roman"/>
      <w:szCs w:val="24"/>
      <w:lang w:val="en-US"/>
    </w:rPr>
  </w:style>
  <w:style w:type="table" w:styleId="TableGrid">
    <w:name w:val="Table Grid"/>
    <w:basedOn w:val="TableNormal"/>
    <w:rsid w:val="009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404BD"/>
    <w:rPr>
      <w:rFonts w:ascii="Arial" w:hAnsi="Arial"/>
      <w:sz w:val="22"/>
      <w:lang w:val="en-US" w:eastAsia="en-US"/>
    </w:rPr>
  </w:style>
  <w:style w:type="paragraph" w:styleId="ListParagraph">
    <w:name w:val="List Paragraph"/>
    <w:basedOn w:val="Normal"/>
    <w:uiPriority w:val="34"/>
    <w:qFormat/>
    <w:rsid w:val="002268CA"/>
    <w:pPr>
      <w:ind w:left="720"/>
    </w:pPr>
  </w:style>
  <w:style w:type="character" w:styleId="Strong">
    <w:name w:val="Strong"/>
    <w:uiPriority w:val="22"/>
    <w:qFormat/>
    <w:rsid w:val="002268CA"/>
    <w:rPr>
      <w:b/>
      <w:bCs/>
    </w:rPr>
  </w:style>
  <w:style w:type="character" w:styleId="FollowedHyperlink">
    <w:name w:val="FollowedHyperlink"/>
    <w:rsid w:val="00CE20D2"/>
    <w:rPr>
      <w:color w:val="800080"/>
      <w:u w:val="single"/>
    </w:rPr>
  </w:style>
  <w:style w:type="character" w:styleId="UnresolvedMention">
    <w:name w:val="Unresolved Mention"/>
    <w:basedOn w:val="DefaultParagraphFont"/>
    <w:uiPriority w:val="99"/>
    <w:semiHidden/>
    <w:unhideWhenUsed/>
    <w:rsid w:val="00777259"/>
    <w:rPr>
      <w:color w:val="605E5C"/>
      <w:shd w:val="clear" w:color="auto" w:fill="E1DFDD"/>
    </w:rPr>
  </w:style>
  <w:style w:type="paragraph" w:customStyle="1" w:styleId="StyleListParagraphBold">
    <w:name w:val="Style List Paragraph + Bold"/>
    <w:basedOn w:val="ListParagraph"/>
    <w:rsid w:val="002B3635"/>
    <w:rPr>
      <w:rFonts w:eastAsia="Calibri" w:cs="Arial"/>
      <w:b/>
      <w:bCs/>
      <w:color w:val="000000"/>
      <w:szCs w:val="22"/>
      <w:lang w:eastAsia="en-GB"/>
    </w:rPr>
  </w:style>
  <w:style w:type="paragraph" w:customStyle="1" w:styleId="StyleHeading4Before12pt">
    <w:name w:val="Style Heading 4 + Before:  12 pt"/>
    <w:basedOn w:val="Heading4"/>
    <w:rsid w:val="002B3635"/>
    <w:pPr>
      <w:spacing w:before="240"/>
    </w:pPr>
    <w:rPr>
      <w:rFonts w:cs="Times New Roman"/>
      <w:bCs/>
      <w:sz w:val="28"/>
    </w:rPr>
  </w:style>
  <w:style w:type="character" w:styleId="CommentReference">
    <w:name w:val="annotation reference"/>
    <w:basedOn w:val="DefaultParagraphFont"/>
    <w:semiHidden/>
    <w:unhideWhenUsed/>
    <w:rsid w:val="004B448E"/>
    <w:rPr>
      <w:sz w:val="16"/>
      <w:szCs w:val="16"/>
    </w:rPr>
  </w:style>
  <w:style w:type="paragraph" w:styleId="CommentText">
    <w:name w:val="annotation text"/>
    <w:basedOn w:val="Normal"/>
    <w:link w:val="CommentTextChar"/>
    <w:semiHidden/>
    <w:unhideWhenUsed/>
    <w:rsid w:val="004B448E"/>
    <w:rPr>
      <w:sz w:val="20"/>
    </w:rPr>
  </w:style>
  <w:style w:type="character" w:customStyle="1" w:styleId="CommentTextChar">
    <w:name w:val="Comment Text Char"/>
    <w:basedOn w:val="DefaultParagraphFont"/>
    <w:link w:val="CommentText"/>
    <w:semiHidden/>
    <w:rsid w:val="004B448E"/>
    <w:rPr>
      <w:rFonts w:ascii="Arial" w:hAnsi="Arial"/>
      <w:lang w:eastAsia="en-US"/>
    </w:rPr>
  </w:style>
  <w:style w:type="paragraph" w:styleId="CommentSubject">
    <w:name w:val="annotation subject"/>
    <w:basedOn w:val="CommentText"/>
    <w:next w:val="CommentText"/>
    <w:link w:val="CommentSubjectChar"/>
    <w:semiHidden/>
    <w:unhideWhenUsed/>
    <w:rsid w:val="004B448E"/>
    <w:rPr>
      <w:b/>
      <w:bCs/>
    </w:rPr>
  </w:style>
  <w:style w:type="character" w:customStyle="1" w:styleId="CommentSubjectChar">
    <w:name w:val="Comment Subject Char"/>
    <w:basedOn w:val="CommentTextChar"/>
    <w:link w:val="CommentSubject"/>
    <w:semiHidden/>
    <w:rsid w:val="004B448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C8C25-97D6-4FB8-B6B0-B617A958C9D4}">
  <ds:schemaRefs>
    <ds:schemaRef ds:uri="http://schemas.microsoft.com/sharepoint/v3/contenttype/forms"/>
  </ds:schemaRefs>
</ds:datastoreItem>
</file>

<file path=customXml/itemProps2.xml><?xml version="1.0" encoding="utf-8"?>
<ds:datastoreItem xmlns:ds="http://schemas.openxmlformats.org/officeDocument/2006/customXml" ds:itemID="{D0B83E0F-02EA-483E-B1AC-6293E131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2948C-0330-4366-B876-BE5C5A9204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9211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TEMPLATE TO BE USED FOR KEY DECISION ONLY TO BE TAKEN BY THE LEADER</vt:lpstr>
    </vt:vector>
  </TitlesOfParts>
  <Company>Harrow Council</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BE USED FOR KEY DECISION ONLY TO BE TAKEN BY THE LEADER</dc:title>
  <dc:creator>DGhelani</dc:creator>
  <cp:lastModifiedBy>Alison Atherton</cp:lastModifiedBy>
  <cp:revision>2</cp:revision>
  <cp:lastPrinted>2014-11-11T15:12:00Z</cp:lastPrinted>
  <dcterms:created xsi:type="dcterms:W3CDTF">2023-02-01T08:37:00Z</dcterms:created>
  <dcterms:modified xsi:type="dcterms:W3CDTF">2023-02-01T08:37:00Z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